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090C" w14:textId="77777777" w:rsidR="00E03C48" w:rsidRPr="00E23DFC" w:rsidRDefault="00CC1AD6" w:rsidP="00E03C48">
      <w:pPr>
        <w:jc w:val="center"/>
        <w:rPr>
          <w:rFonts w:ascii="Arial Negrita" w:hAnsi="Arial Negrita"/>
          <w:b/>
          <w:bCs/>
          <w:color w:val="595959" w:themeColor="text1" w:themeTint="A6"/>
          <w:spacing w:val="320"/>
          <w:sz w:val="24"/>
          <w:szCs w:val="24"/>
        </w:rPr>
      </w:pPr>
      <w:r w:rsidRPr="00E23DFC">
        <w:rPr>
          <w:rFonts w:ascii="Arial Negrita" w:hAnsi="Arial Negrita"/>
          <w:b/>
          <w:bCs/>
          <w:color w:val="595959" w:themeColor="text1" w:themeTint="A6"/>
          <w:spacing w:val="320"/>
          <w:sz w:val="24"/>
          <w:szCs w:val="24"/>
        </w:rPr>
        <w:t xml:space="preserve">CIRCULAR </w:t>
      </w:r>
    </w:p>
    <w:p w14:paraId="26AF8592" w14:textId="77777777" w:rsidR="00E03C48" w:rsidRPr="00E23DFC" w:rsidRDefault="00E03C48" w:rsidP="00E03C48">
      <w:pPr>
        <w:rPr>
          <w:rFonts w:ascii="Arial Negrita" w:hAnsi="Arial Negrita"/>
          <w:b/>
          <w:bCs/>
          <w:color w:val="595959" w:themeColor="text1" w:themeTint="A6"/>
          <w:spacing w:val="320"/>
        </w:rPr>
      </w:pPr>
    </w:p>
    <w:p w14:paraId="78C67A1E" w14:textId="4CEC9A0C" w:rsidR="00DC6F82" w:rsidRDefault="00C23A18" w:rsidP="00DC6F82">
      <w:pPr>
        <w:jc w:val="both"/>
        <w:rPr>
          <w:sz w:val="22"/>
          <w:szCs w:val="22"/>
        </w:rPr>
      </w:pPr>
      <w:r w:rsidRPr="00DC6F82">
        <w:rPr>
          <w:sz w:val="22"/>
          <w:szCs w:val="22"/>
        </w:rPr>
        <w:t>El Real Decreto-ley 16/2022</w:t>
      </w:r>
      <w:r w:rsidR="00FA0034">
        <w:rPr>
          <w:sz w:val="22"/>
          <w:szCs w:val="22"/>
        </w:rPr>
        <w:t xml:space="preserve"> (BOE 08/09/2022) </w:t>
      </w:r>
      <w:r w:rsidRPr="00DC6F82">
        <w:rPr>
          <w:sz w:val="22"/>
          <w:szCs w:val="22"/>
        </w:rPr>
        <w:t xml:space="preserve">de mejora de las condiciones de trabajo y de Seguridad Social de las personas trabajadoras al servicio del hogar, </w:t>
      </w:r>
      <w:r w:rsidR="00DC6F82" w:rsidRPr="00DC6F82">
        <w:rPr>
          <w:sz w:val="22"/>
          <w:szCs w:val="22"/>
        </w:rPr>
        <w:t xml:space="preserve">entra en vigor el 9 de septiembre de 2022, </w:t>
      </w:r>
      <w:r w:rsidR="009972A6" w:rsidRPr="002C4307">
        <w:rPr>
          <w:sz w:val="22"/>
          <w:szCs w:val="22"/>
        </w:rPr>
        <w:t>y</w:t>
      </w:r>
      <w:r w:rsidR="009972A6" w:rsidRPr="000149A5">
        <w:t xml:space="preserve"> </w:t>
      </w:r>
      <w:proofErr w:type="gramStart"/>
      <w:r w:rsidR="009972A6" w:rsidRPr="009972A6">
        <w:rPr>
          <w:sz w:val="22"/>
          <w:szCs w:val="22"/>
        </w:rPr>
        <w:t>será de</w:t>
      </w:r>
      <w:r w:rsidR="002C4307">
        <w:rPr>
          <w:sz w:val="22"/>
          <w:szCs w:val="22"/>
        </w:rPr>
        <w:t xml:space="preserve"> </w:t>
      </w:r>
      <w:r w:rsidR="009972A6" w:rsidRPr="009972A6">
        <w:rPr>
          <w:sz w:val="22"/>
          <w:szCs w:val="22"/>
        </w:rPr>
        <w:t>aplicación</w:t>
      </w:r>
      <w:proofErr w:type="gramEnd"/>
      <w:r w:rsidR="009972A6" w:rsidRPr="009972A6">
        <w:rPr>
          <w:sz w:val="22"/>
          <w:szCs w:val="22"/>
        </w:rPr>
        <w:t xml:space="preserve"> a los contratos vigentes a partir de esta fecha, </w:t>
      </w:r>
      <w:r w:rsidR="00DC6F82" w:rsidRPr="009972A6">
        <w:rPr>
          <w:sz w:val="22"/>
          <w:szCs w:val="22"/>
        </w:rPr>
        <w:t>con algunas excepciones</w:t>
      </w:r>
      <w:r w:rsidR="00FA0034" w:rsidRPr="009972A6">
        <w:rPr>
          <w:sz w:val="22"/>
          <w:szCs w:val="22"/>
        </w:rPr>
        <w:t xml:space="preserve">. </w:t>
      </w:r>
      <w:r w:rsidR="00942ABC" w:rsidRPr="009972A6">
        <w:rPr>
          <w:sz w:val="22"/>
          <w:szCs w:val="22"/>
        </w:rPr>
        <w:t>E</w:t>
      </w:r>
      <w:r w:rsidR="00942ABC">
        <w:rPr>
          <w:sz w:val="22"/>
          <w:szCs w:val="22"/>
        </w:rPr>
        <w:t>stas son las principales novedades:</w:t>
      </w:r>
    </w:p>
    <w:p w14:paraId="689689FE" w14:textId="05E96EFE" w:rsidR="00FA0034" w:rsidRPr="000149A5" w:rsidRDefault="00FA0034" w:rsidP="00DC6F82">
      <w:pPr>
        <w:jc w:val="both"/>
        <w:rPr>
          <w:sz w:val="16"/>
          <w:szCs w:val="16"/>
        </w:rPr>
      </w:pPr>
    </w:p>
    <w:p w14:paraId="07D8ACB7" w14:textId="35BB69AB" w:rsidR="00FA0034" w:rsidRPr="00370325" w:rsidRDefault="00942ABC" w:rsidP="00DC6F82">
      <w:pPr>
        <w:jc w:val="both"/>
        <w:rPr>
          <w:color w:val="000000" w:themeColor="text1"/>
          <w:sz w:val="24"/>
          <w:szCs w:val="24"/>
          <w:u w:val="single"/>
        </w:rPr>
      </w:pPr>
      <w:r w:rsidRPr="00370325">
        <w:rPr>
          <w:color w:val="000000" w:themeColor="text1"/>
          <w:sz w:val="24"/>
          <w:szCs w:val="24"/>
          <w:u w:val="single"/>
        </w:rPr>
        <w:t>En la</w:t>
      </w:r>
      <w:r w:rsidR="00FA0034" w:rsidRPr="00370325">
        <w:rPr>
          <w:color w:val="000000" w:themeColor="text1"/>
          <w:sz w:val="24"/>
          <w:szCs w:val="24"/>
          <w:u w:val="single"/>
        </w:rPr>
        <w:t xml:space="preserve"> relación laboral de carácter especial del servicio del hogar familiar</w:t>
      </w:r>
      <w:r w:rsidR="002A7DC1" w:rsidRPr="00370325">
        <w:rPr>
          <w:color w:val="000000" w:themeColor="text1"/>
          <w:sz w:val="24"/>
          <w:szCs w:val="24"/>
          <w:u w:val="single"/>
        </w:rPr>
        <w:t>:</w:t>
      </w:r>
    </w:p>
    <w:p w14:paraId="67734F20" w14:textId="77777777" w:rsidR="00DC6F82" w:rsidRPr="00DC6F82" w:rsidRDefault="00DC6F82" w:rsidP="00DC6F82">
      <w:pPr>
        <w:rPr>
          <w:sz w:val="22"/>
          <w:szCs w:val="22"/>
        </w:rPr>
      </w:pPr>
    </w:p>
    <w:p w14:paraId="4F19121C" w14:textId="7E26378A" w:rsidR="00CC1AD6" w:rsidRPr="002A7DC1" w:rsidRDefault="009B3DC1" w:rsidP="00CC1AD6">
      <w:pPr>
        <w:jc w:val="both"/>
      </w:pPr>
      <w:r w:rsidRPr="002A7DC1">
        <w:t xml:space="preserve">Salvo prueba en contrario, en defecto de pacto escrito, el contrato de trabajo </w:t>
      </w:r>
      <w:r w:rsidRPr="00D3051E">
        <w:rPr>
          <w:rFonts w:ascii="Arial Negrita" w:hAnsi="Arial Negrita"/>
          <w:b/>
          <w:bCs/>
          <w:caps/>
          <w:color w:val="000000" w:themeColor="text1"/>
        </w:rPr>
        <w:t>se presumirá concertado por tiempo</w:t>
      </w:r>
      <w:r w:rsidRPr="00D3051E">
        <w:rPr>
          <w:color w:val="000000" w:themeColor="text1"/>
        </w:rPr>
        <w:t xml:space="preserve"> </w:t>
      </w:r>
      <w:r w:rsidRPr="002A7DC1">
        <w:t xml:space="preserve">indefinido y a jornada completa, </w:t>
      </w:r>
      <w:r w:rsidRPr="00410E6A">
        <w:rPr>
          <w:color w:val="000000" w:themeColor="text1"/>
          <w:u w:val="single"/>
        </w:rPr>
        <w:t xml:space="preserve">cualquiera que sea la duración </w:t>
      </w:r>
      <w:proofErr w:type="gramStart"/>
      <w:r w:rsidRPr="00410E6A">
        <w:rPr>
          <w:color w:val="000000" w:themeColor="text1"/>
          <w:u w:val="single"/>
        </w:rPr>
        <w:t>del mismo</w:t>
      </w:r>
      <w:proofErr w:type="gramEnd"/>
      <w:r w:rsidRPr="00410E6A">
        <w:rPr>
          <w:color w:val="000000" w:themeColor="text1"/>
        </w:rPr>
        <w:t xml:space="preserve">, </w:t>
      </w:r>
      <w:r w:rsidRPr="002A7DC1">
        <w:t xml:space="preserve">y la forma se ajustará a lo previsto en el </w:t>
      </w:r>
      <w:r w:rsidR="00CC1AD6" w:rsidRPr="002A7DC1">
        <w:t xml:space="preserve">Estatuto de los Trabajadores. </w:t>
      </w:r>
    </w:p>
    <w:p w14:paraId="74BBE627" w14:textId="1B2DB7F3" w:rsidR="00CC1AD6" w:rsidRPr="002A7DC1" w:rsidRDefault="00CC1AD6" w:rsidP="00CC1AD6">
      <w:pPr>
        <w:jc w:val="both"/>
      </w:pPr>
    </w:p>
    <w:p w14:paraId="31E8413B" w14:textId="3B09EA28" w:rsidR="006C4EA7" w:rsidRDefault="00CC1AD6" w:rsidP="00CC1AD6">
      <w:pPr>
        <w:jc w:val="both"/>
      </w:pPr>
      <w:r>
        <w:t xml:space="preserve">La relación laboral de carácter especial del servicio del hogar familiar </w:t>
      </w:r>
      <w:r w:rsidRPr="00D3051E">
        <w:rPr>
          <w:rFonts w:ascii="Arial Negrita" w:hAnsi="Arial Negrita"/>
          <w:b/>
          <w:bCs/>
          <w:caps/>
          <w:color w:val="000000" w:themeColor="text1"/>
        </w:rPr>
        <w:t>podrá extinguirse</w:t>
      </w:r>
      <w:r w:rsidRPr="00D3051E">
        <w:rPr>
          <w:color w:val="000000" w:themeColor="text1"/>
        </w:rPr>
        <w:t xml:space="preserve"> </w:t>
      </w:r>
      <w:r>
        <w:t>por las causas establecidas en el artículo 49.1 del Estatuto de los Trabajadores, aplic</w:t>
      </w:r>
      <w:r w:rsidR="00686743">
        <w:t>a</w:t>
      </w:r>
      <w:r>
        <w:t xml:space="preserve">ndo la normativa laboral común salvo en lo que resulte incompatible con las peculiaridades del carácter especial de </w:t>
      </w:r>
      <w:r w:rsidR="00686743">
        <w:t xml:space="preserve">la </w:t>
      </w:r>
      <w:r>
        <w:t xml:space="preserve">relación.  </w:t>
      </w:r>
    </w:p>
    <w:p w14:paraId="4CCB10D0" w14:textId="77777777" w:rsidR="006C4EA7" w:rsidRDefault="006C4EA7" w:rsidP="00CC1AD6">
      <w:pPr>
        <w:jc w:val="both"/>
      </w:pPr>
    </w:p>
    <w:p w14:paraId="607EF915" w14:textId="361B34F3" w:rsidR="00CC1AD6" w:rsidRDefault="00EB0D3A" w:rsidP="00CC1AD6">
      <w:pPr>
        <w:jc w:val="both"/>
      </w:pPr>
      <w:r w:rsidRPr="00213660">
        <w:rPr>
          <w:b/>
          <w:bCs/>
          <w:color w:val="000000" w:themeColor="text1"/>
          <w:sz w:val="22"/>
          <w:szCs w:val="22"/>
        </w:rPr>
        <w:t>Suprime</w:t>
      </w:r>
      <w:r w:rsidRPr="00EB0D3A">
        <w:t xml:space="preserve"> la posibilidad de que el contrato pueda extinguirse por </w:t>
      </w:r>
      <w:r w:rsidRPr="00213660">
        <w:rPr>
          <w:color w:val="000000" w:themeColor="text1"/>
          <w:sz w:val="22"/>
          <w:szCs w:val="22"/>
          <w:u w:val="single"/>
        </w:rPr>
        <w:t>desistimiento del empleador</w:t>
      </w:r>
      <w:r w:rsidRPr="006C4EA7">
        <w:rPr>
          <w:color w:val="000000" w:themeColor="text1"/>
          <w:u w:val="single"/>
        </w:rPr>
        <w:t>.</w:t>
      </w:r>
    </w:p>
    <w:p w14:paraId="044F70C9" w14:textId="77777777" w:rsidR="00EB0D3A" w:rsidRDefault="00EB0D3A" w:rsidP="00CC1AD6">
      <w:pPr>
        <w:jc w:val="both"/>
      </w:pPr>
    </w:p>
    <w:p w14:paraId="02268315" w14:textId="267AC1EE" w:rsidR="00CC1AD6" w:rsidRDefault="00CC1AD6" w:rsidP="00CC1AD6">
      <w:pPr>
        <w:jc w:val="both"/>
      </w:pPr>
      <w:r>
        <w:t xml:space="preserve">Sin perjuicio de lo anterior, </w:t>
      </w:r>
      <w:r w:rsidR="00211C39" w:rsidRPr="000F6014">
        <w:rPr>
          <w:color w:val="000000" w:themeColor="text1"/>
          <w:u w:val="single"/>
        </w:rPr>
        <w:t>y como novedad</w:t>
      </w:r>
      <w:r w:rsidR="00211C39">
        <w:t xml:space="preserve">, </w:t>
      </w:r>
      <w:r>
        <w:t xml:space="preserve">esta relación laboral de carácter especial </w:t>
      </w:r>
      <w:r w:rsidRPr="000F6014">
        <w:rPr>
          <w:rFonts w:ascii="Arial Negrita" w:hAnsi="Arial Negrita"/>
          <w:b/>
          <w:bCs/>
          <w:caps/>
          <w:color w:val="000000" w:themeColor="text1"/>
        </w:rPr>
        <w:t>podrá extinguirse</w:t>
      </w:r>
      <w:r w:rsidRPr="005A4BC4">
        <w:rPr>
          <w:b/>
          <w:bCs/>
          <w:color w:val="000000" w:themeColor="text1"/>
          <w:sz w:val="22"/>
          <w:szCs w:val="22"/>
        </w:rPr>
        <w:t xml:space="preserve"> </w:t>
      </w:r>
      <w:r w:rsidRPr="000F6014">
        <w:rPr>
          <w:color w:val="000000" w:themeColor="text1"/>
          <w:sz w:val="22"/>
          <w:szCs w:val="22"/>
        </w:rPr>
        <w:t>por alguna de las siguientes</w:t>
      </w:r>
      <w:r w:rsidRPr="005A4BC4">
        <w:rPr>
          <w:b/>
          <w:bCs/>
          <w:color w:val="000000" w:themeColor="text1"/>
          <w:sz w:val="22"/>
          <w:szCs w:val="22"/>
        </w:rPr>
        <w:t xml:space="preserve"> </w:t>
      </w:r>
      <w:r w:rsidR="000F6014" w:rsidRPr="000F6014">
        <w:rPr>
          <w:b/>
          <w:bCs/>
          <w:color w:val="000000" w:themeColor="text1"/>
        </w:rPr>
        <w:t>CAUSAS</w:t>
      </w:r>
      <w:r w:rsidRPr="005A4BC4">
        <w:rPr>
          <w:b/>
          <w:bCs/>
          <w:color w:val="000000" w:themeColor="text1"/>
          <w:sz w:val="22"/>
          <w:szCs w:val="22"/>
        </w:rPr>
        <w:t>,</w:t>
      </w:r>
      <w:r>
        <w:t xml:space="preserve"> siempre que estén justificadas: </w:t>
      </w:r>
    </w:p>
    <w:p w14:paraId="1A7F780D" w14:textId="77777777" w:rsidR="00CC1AD6" w:rsidRDefault="00CC1AD6" w:rsidP="00CC1AD6">
      <w:pPr>
        <w:jc w:val="both"/>
      </w:pPr>
    </w:p>
    <w:p w14:paraId="272D3FC7" w14:textId="77777777" w:rsidR="00CC1AD6" w:rsidRPr="00213660" w:rsidRDefault="00CC1AD6" w:rsidP="00CC1AD6">
      <w:pPr>
        <w:jc w:val="both"/>
        <w:rPr>
          <w:sz w:val="18"/>
          <w:szCs w:val="18"/>
        </w:rPr>
      </w:pPr>
      <w:r w:rsidRPr="00213660">
        <w:rPr>
          <w:sz w:val="18"/>
          <w:szCs w:val="18"/>
        </w:rPr>
        <w:t>a) Disminución de los ingresos de la unidad familiar o incremento de sus gastos por circunstancia sobrevenida.</w:t>
      </w:r>
    </w:p>
    <w:p w14:paraId="0DF4707D" w14:textId="77777777" w:rsidR="00CC1AD6" w:rsidRPr="00213660" w:rsidRDefault="00CC1AD6" w:rsidP="00CC1AD6">
      <w:pPr>
        <w:jc w:val="both"/>
        <w:rPr>
          <w:sz w:val="18"/>
          <w:szCs w:val="18"/>
        </w:rPr>
      </w:pPr>
      <w:r w:rsidRPr="00213660">
        <w:rPr>
          <w:sz w:val="18"/>
          <w:szCs w:val="18"/>
        </w:rPr>
        <w:t>b) Modificación sustancial de las necesidades de la unidad familiar que justifican que se prescinda de la persona trabajadora del hogar.</w:t>
      </w:r>
    </w:p>
    <w:p w14:paraId="758C31EA" w14:textId="77777777" w:rsidR="00CC1AD6" w:rsidRPr="00213660" w:rsidRDefault="00CC1AD6" w:rsidP="00CC1AD6">
      <w:pPr>
        <w:jc w:val="both"/>
        <w:rPr>
          <w:sz w:val="18"/>
          <w:szCs w:val="18"/>
        </w:rPr>
      </w:pPr>
      <w:r w:rsidRPr="00213660">
        <w:rPr>
          <w:sz w:val="18"/>
          <w:szCs w:val="18"/>
        </w:rPr>
        <w:t>c) El comportamiento de la persona trabajadora que fundamente de manera razonable y proporcionada la pérdida de confianza de la persona empleadora.</w:t>
      </w:r>
    </w:p>
    <w:p w14:paraId="1E63DB4A" w14:textId="67B42840" w:rsidR="00CC1AD6" w:rsidRPr="00E06BDD" w:rsidRDefault="00CC1AD6" w:rsidP="00CC1AD6">
      <w:pPr>
        <w:jc w:val="both"/>
        <w:rPr>
          <w:sz w:val="16"/>
          <w:szCs w:val="16"/>
        </w:rPr>
      </w:pPr>
    </w:p>
    <w:p w14:paraId="219C8AE6" w14:textId="1199523A" w:rsidR="00CC1AD6" w:rsidRPr="00213660" w:rsidRDefault="006C4EA7" w:rsidP="00CC1AD6">
      <w:pPr>
        <w:jc w:val="both"/>
      </w:pPr>
      <w:r w:rsidRPr="00213660">
        <w:t>En estos nuevos supuestos</w:t>
      </w:r>
      <w:r w:rsidR="009D6C6F">
        <w:t xml:space="preserve"> o causas</w:t>
      </w:r>
      <w:r w:rsidRPr="00213660">
        <w:t>, l</w:t>
      </w:r>
      <w:r w:rsidR="00CC1AD6" w:rsidRPr="00213660">
        <w:t xml:space="preserve">a decisión de extinguir el contrato deberá </w:t>
      </w:r>
      <w:r w:rsidR="00CC1AD6" w:rsidRPr="00686743">
        <w:rPr>
          <w:color w:val="000000" w:themeColor="text1"/>
          <w:u w:val="single"/>
        </w:rPr>
        <w:t>comunicarse por escrito</w:t>
      </w:r>
      <w:r w:rsidR="00CC1AD6" w:rsidRPr="00686743">
        <w:rPr>
          <w:color w:val="000000" w:themeColor="text1"/>
        </w:rPr>
        <w:t xml:space="preserve">, </w:t>
      </w:r>
      <w:r w:rsidRPr="00213660">
        <w:t xml:space="preserve">con un preaviso mínimo </w:t>
      </w:r>
      <w:r w:rsidR="005A4BC4" w:rsidRPr="00213660">
        <w:t xml:space="preserve">de 7 días, o </w:t>
      </w:r>
      <w:r w:rsidRPr="00213660">
        <w:t xml:space="preserve">de </w:t>
      </w:r>
      <w:r w:rsidR="005A4BC4" w:rsidRPr="00213660">
        <w:t>20</w:t>
      </w:r>
      <w:r w:rsidRPr="00213660">
        <w:t xml:space="preserve"> días cuando la prestación de servicios hubiera superado la duración de un año, </w:t>
      </w:r>
      <w:r w:rsidR="005A4BC4" w:rsidRPr="00213660">
        <w:t>debiendo</w:t>
      </w:r>
      <w:r w:rsidR="00CC1AD6" w:rsidRPr="00213660">
        <w:t xml:space="preserve"> constar de modo claro e inequívoco </w:t>
      </w:r>
      <w:r w:rsidR="00CC1AD6" w:rsidRPr="00005D6F">
        <w:rPr>
          <w:color w:val="000000" w:themeColor="text1"/>
          <w:u w:val="single"/>
        </w:rPr>
        <w:t>la voluntad</w:t>
      </w:r>
      <w:r w:rsidR="00CC1AD6" w:rsidRPr="00005D6F">
        <w:rPr>
          <w:color w:val="000000" w:themeColor="text1"/>
        </w:rPr>
        <w:t xml:space="preserve"> </w:t>
      </w:r>
      <w:r w:rsidR="00CC1AD6" w:rsidRPr="00213660">
        <w:t xml:space="preserve">de la persona empleadora de dar por finalizada la relación laboral </w:t>
      </w:r>
      <w:r w:rsidR="00CC1AD6" w:rsidRPr="00005D6F">
        <w:rPr>
          <w:color w:val="000000" w:themeColor="text1"/>
        </w:rPr>
        <w:t xml:space="preserve">y </w:t>
      </w:r>
      <w:r w:rsidR="00CC1AD6" w:rsidRPr="00005D6F">
        <w:rPr>
          <w:color w:val="000000" w:themeColor="text1"/>
          <w:u w:val="single"/>
        </w:rPr>
        <w:t>la causa</w:t>
      </w:r>
      <w:r w:rsidR="00CC1AD6" w:rsidRPr="00005D6F">
        <w:rPr>
          <w:color w:val="000000" w:themeColor="text1"/>
        </w:rPr>
        <w:t xml:space="preserve"> </w:t>
      </w:r>
      <w:r w:rsidR="00CC1AD6" w:rsidRPr="00213660">
        <w:t>por la que se adopta dicha decisión.</w:t>
      </w:r>
    </w:p>
    <w:p w14:paraId="0D896336" w14:textId="77777777" w:rsidR="00CC1AD6" w:rsidRPr="00E06BDD" w:rsidRDefault="00CC1AD6" w:rsidP="00CC1AD6">
      <w:pPr>
        <w:jc w:val="both"/>
        <w:rPr>
          <w:sz w:val="16"/>
          <w:szCs w:val="16"/>
        </w:rPr>
      </w:pPr>
    </w:p>
    <w:p w14:paraId="6AAFD74C" w14:textId="4B114D4B" w:rsidR="00CC1AD6" w:rsidRPr="00213660" w:rsidRDefault="00CC1AD6" w:rsidP="00CC1AD6">
      <w:pPr>
        <w:jc w:val="both"/>
      </w:pPr>
      <w:r w:rsidRPr="00213660">
        <w:t xml:space="preserve">Simultáneamente a la comunicación de la extinción, la persona empleadora deberá poner a disposición de la persona trabajadora </w:t>
      </w:r>
      <w:r w:rsidRPr="00005D6F">
        <w:rPr>
          <w:color w:val="000000" w:themeColor="text1"/>
          <w:u w:val="single"/>
        </w:rPr>
        <w:t>una indemnización</w:t>
      </w:r>
      <w:r w:rsidRPr="00213660">
        <w:t>, en cuantía equivalente al salario correspondiente a doce días por año de servicio con el límite de seis mensualidades</w:t>
      </w:r>
      <w:r w:rsidR="0014065C">
        <w:t>.</w:t>
      </w:r>
      <w:r w:rsidRPr="00213660">
        <w:t xml:space="preserve"> </w:t>
      </w:r>
    </w:p>
    <w:p w14:paraId="69F8FFCD" w14:textId="77777777" w:rsidR="00CC1AD6" w:rsidRPr="000149A5" w:rsidRDefault="00CC1AD6" w:rsidP="00CC1AD6">
      <w:pPr>
        <w:jc w:val="both"/>
        <w:rPr>
          <w:sz w:val="16"/>
          <w:szCs w:val="16"/>
        </w:rPr>
      </w:pPr>
    </w:p>
    <w:p w14:paraId="08408B35" w14:textId="04683734" w:rsidR="00CC1AD6" w:rsidRDefault="00CC1AD6" w:rsidP="00CC1AD6">
      <w:pPr>
        <w:jc w:val="both"/>
      </w:pPr>
      <w:r>
        <w:t xml:space="preserve">El Fondo de Garantía Salarial </w:t>
      </w:r>
      <w:r w:rsidRPr="00213660">
        <w:rPr>
          <w:b/>
          <w:bCs/>
          <w:sz w:val="22"/>
          <w:szCs w:val="22"/>
        </w:rPr>
        <w:t>(</w:t>
      </w:r>
      <w:r w:rsidRPr="00005D6F">
        <w:rPr>
          <w:b/>
          <w:bCs/>
          <w:color w:val="000000" w:themeColor="text1"/>
          <w:sz w:val="22"/>
          <w:szCs w:val="22"/>
        </w:rPr>
        <w:t>FOGASA),</w:t>
      </w:r>
      <w:r>
        <w:t xml:space="preserve"> en los casos de insolvencia o concurso del empleador, abonará </w:t>
      </w:r>
      <w:r w:rsidR="009D6C6F" w:rsidRPr="00005D6F">
        <w:rPr>
          <w:color w:val="000000" w:themeColor="text1"/>
          <w:u w:val="single"/>
        </w:rPr>
        <w:t xml:space="preserve">las </w:t>
      </w:r>
      <w:r w:rsidRPr="00005D6F">
        <w:rPr>
          <w:color w:val="000000" w:themeColor="text1"/>
          <w:u w:val="single"/>
        </w:rPr>
        <w:t>indemnizaciones</w:t>
      </w:r>
      <w:r w:rsidRPr="00005D6F">
        <w:rPr>
          <w:color w:val="000000" w:themeColor="text1"/>
        </w:rPr>
        <w:t xml:space="preserve"> </w:t>
      </w:r>
      <w:r>
        <w:t xml:space="preserve">reconocidas a favor de los trabajadores </w:t>
      </w:r>
      <w:r w:rsidR="009D6C6F">
        <w:t>por la</w:t>
      </w:r>
      <w:r>
        <w:t xml:space="preserve"> extinción de contratos</w:t>
      </w:r>
      <w:r w:rsidR="009D6C6F">
        <w:t xml:space="preserve"> conforme a </w:t>
      </w:r>
      <w:r w:rsidR="009D6C6F" w:rsidRPr="003B03FC">
        <w:rPr>
          <w:b/>
          <w:bCs/>
          <w:color w:val="000000" w:themeColor="text1"/>
        </w:rPr>
        <w:t>estas nuevas causas</w:t>
      </w:r>
      <w:r w:rsidRPr="003B03FC">
        <w:rPr>
          <w:b/>
          <w:bCs/>
          <w:color w:val="000000" w:themeColor="text1"/>
        </w:rPr>
        <w:t>,</w:t>
      </w:r>
      <w:r w:rsidRPr="003B03FC">
        <w:rPr>
          <w:color w:val="000000" w:themeColor="text1"/>
        </w:rPr>
        <w:t xml:space="preserve"> </w:t>
      </w:r>
      <w:r w:rsidRPr="009D6C6F">
        <w:rPr>
          <w:u w:val="single"/>
        </w:rPr>
        <w:t>con el límite máximo de 6 mensualidades</w:t>
      </w:r>
      <w:r>
        <w:t xml:space="preserve">, sin que el salario diario, base del cálculo, pueda exceder del doble del SMI, incluyendo la parte proporcional de las pagas extraordinarias. </w:t>
      </w:r>
    </w:p>
    <w:p w14:paraId="37A737A2" w14:textId="77777777" w:rsidR="00CC1AD6" w:rsidRPr="000149A5" w:rsidRDefault="00CC1AD6" w:rsidP="00CC1AD6">
      <w:pPr>
        <w:jc w:val="both"/>
        <w:rPr>
          <w:sz w:val="16"/>
          <w:szCs w:val="16"/>
        </w:rPr>
      </w:pPr>
    </w:p>
    <w:p w14:paraId="0F951D2C" w14:textId="3F84EE28" w:rsidR="00B10404" w:rsidRPr="00942ABC" w:rsidRDefault="00B10404" w:rsidP="00B10404">
      <w:pPr>
        <w:jc w:val="both"/>
        <w:rPr>
          <w:color w:val="000000" w:themeColor="text1"/>
          <w:sz w:val="24"/>
          <w:szCs w:val="24"/>
          <w:u w:val="single"/>
        </w:rPr>
      </w:pPr>
      <w:r w:rsidRPr="00942ABC">
        <w:rPr>
          <w:color w:val="000000" w:themeColor="text1"/>
          <w:sz w:val="24"/>
          <w:szCs w:val="24"/>
          <w:u w:val="single"/>
        </w:rPr>
        <w:t>Sistema Especial para Empleados de Hogar del Régimen General Seguridad Social</w:t>
      </w:r>
      <w:r w:rsidR="00942ABC">
        <w:rPr>
          <w:color w:val="000000" w:themeColor="text1"/>
          <w:sz w:val="24"/>
          <w:szCs w:val="24"/>
          <w:u w:val="single"/>
        </w:rPr>
        <w:t>:</w:t>
      </w:r>
    </w:p>
    <w:p w14:paraId="6CD702D9" w14:textId="77777777" w:rsidR="00B10404" w:rsidRPr="00E06BDD" w:rsidRDefault="00B10404" w:rsidP="00CC1AD6">
      <w:pPr>
        <w:jc w:val="both"/>
        <w:rPr>
          <w:sz w:val="16"/>
          <w:szCs w:val="16"/>
        </w:rPr>
      </w:pPr>
    </w:p>
    <w:p w14:paraId="07695C5C" w14:textId="2D0DAE0F" w:rsidR="00CC1AD6" w:rsidRPr="00942ABC" w:rsidRDefault="00CC1AD6" w:rsidP="00CC1AD6">
      <w:pPr>
        <w:jc w:val="both"/>
        <w:rPr>
          <w:color w:val="000000" w:themeColor="text1"/>
        </w:rPr>
      </w:pPr>
      <w:r>
        <w:t xml:space="preserve">La acción protectora del Sistema Especial para Empleados de Hogar comprenderá la correspondiente al </w:t>
      </w:r>
      <w:r w:rsidR="00262A12" w:rsidRPr="00262A12">
        <w:rPr>
          <w:b/>
          <w:bCs/>
          <w:color w:val="000000" w:themeColor="text1"/>
        </w:rPr>
        <w:t>DESEMPLEO</w:t>
      </w:r>
      <w:r w:rsidR="00211C39" w:rsidRPr="00942ABC">
        <w:rPr>
          <w:b/>
          <w:bCs/>
          <w:color w:val="000000" w:themeColor="text1"/>
          <w:sz w:val="22"/>
          <w:szCs w:val="22"/>
        </w:rPr>
        <w:t>.</w:t>
      </w:r>
    </w:p>
    <w:p w14:paraId="7008DA95" w14:textId="77777777" w:rsidR="00CC1AD6" w:rsidRPr="00E06BDD" w:rsidRDefault="00CC1AD6" w:rsidP="00CC1AD6">
      <w:pPr>
        <w:jc w:val="both"/>
        <w:rPr>
          <w:sz w:val="16"/>
          <w:szCs w:val="16"/>
        </w:rPr>
      </w:pPr>
    </w:p>
    <w:p w14:paraId="1EB689EE" w14:textId="0C0C85B3" w:rsidR="00CC1AD6" w:rsidRDefault="00CC1AD6" w:rsidP="00CC1AD6">
      <w:pPr>
        <w:jc w:val="both"/>
      </w:pPr>
      <w:r>
        <w:t xml:space="preserve">Se encontrarán en </w:t>
      </w:r>
      <w:r w:rsidRPr="00262A12">
        <w:rPr>
          <w:b/>
          <w:bCs/>
          <w:color w:val="000000" w:themeColor="text1"/>
        </w:rPr>
        <w:t>situación legal de desempleo</w:t>
      </w:r>
      <w:r w:rsidRPr="00211C39">
        <w:rPr>
          <w:color w:val="000000" w:themeColor="text1"/>
        </w:rPr>
        <w:t xml:space="preserve"> </w:t>
      </w:r>
      <w:r>
        <w:t xml:space="preserve">los empleados de hogar por extinción del contrato de trabajo </w:t>
      </w:r>
      <w:r w:rsidR="003B03FC">
        <w:t>por las nuevas causas de extinción antes mencionadas.</w:t>
      </w:r>
    </w:p>
    <w:p w14:paraId="51F8DF02" w14:textId="77777777" w:rsidR="00CC1AD6" w:rsidRPr="00E06BDD" w:rsidRDefault="00CC1AD6" w:rsidP="00CC1AD6">
      <w:pPr>
        <w:jc w:val="both"/>
        <w:rPr>
          <w:sz w:val="16"/>
          <w:szCs w:val="16"/>
        </w:rPr>
      </w:pPr>
    </w:p>
    <w:p w14:paraId="56048E1F" w14:textId="6C16B4CC" w:rsidR="00006503" w:rsidRPr="00502384" w:rsidRDefault="003B03FC" w:rsidP="00CC1AD6">
      <w:pPr>
        <w:jc w:val="both"/>
        <w:rPr>
          <w:b/>
          <w:bCs/>
          <w:color w:val="000000" w:themeColor="text1"/>
          <w:sz w:val="22"/>
          <w:szCs w:val="22"/>
        </w:rPr>
      </w:pPr>
      <w:r w:rsidRPr="00E06BDD">
        <w:rPr>
          <w:color w:val="000000" w:themeColor="text1"/>
        </w:rPr>
        <w:t>La</w:t>
      </w:r>
      <w:r w:rsidR="00CC1AD6" w:rsidRPr="00E077D4">
        <w:rPr>
          <w:b/>
          <w:bCs/>
          <w:color w:val="000000" w:themeColor="text1"/>
          <w:sz w:val="22"/>
          <w:szCs w:val="22"/>
        </w:rPr>
        <w:t xml:space="preserve"> </w:t>
      </w:r>
      <w:r w:rsidR="00262A12" w:rsidRPr="00E077D4">
        <w:rPr>
          <w:b/>
          <w:bCs/>
          <w:color w:val="000000" w:themeColor="text1"/>
        </w:rPr>
        <w:t>COTIZACIÓN</w:t>
      </w:r>
      <w:r w:rsidR="00CC1AD6" w:rsidRPr="00E077D4">
        <w:rPr>
          <w:b/>
          <w:bCs/>
          <w:color w:val="000000" w:themeColor="text1"/>
          <w:sz w:val="22"/>
          <w:szCs w:val="22"/>
        </w:rPr>
        <w:t xml:space="preserve"> </w:t>
      </w:r>
      <w:r w:rsidR="00CC1AD6" w:rsidRPr="00262A12">
        <w:rPr>
          <w:color w:val="000000" w:themeColor="text1"/>
          <w:sz w:val="22"/>
          <w:szCs w:val="22"/>
        </w:rPr>
        <w:t>por la contingencia de</w:t>
      </w:r>
      <w:r w:rsidR="00CC1AD6" w:rsidRPr="00211C39">
        <w:rPr>
          <w:b/>
          <w:bCs/>
          <w:color w:val="000000" w:themeColor="text1"/>
          <w:sz w:val="22"/>
          <w:szCs w:val="22"/>
        </w:rPr>
        <w:t xml:space="preserve"> </w:t>
      </w:r>
      <w:r w:rsidR="00262A12" w:rsidRPr="00262A12">
        <w:rPr>
          <w:b/>
          <w:bCs/>
          <w:color w:val="000000" w:themeColor="text1"/>
        </w:rPr>
        <w:t>DESEMPLEO</w:t>
      </w:r>
      <w:r w:rsidR="00CC1AD6" w:rsidRPr="00262A12">
        <w:rPr>
          <w:b/>
          <w:bCs/>
          <w:color w:val="000000" w:themeColor="text1"/>
        </w:rPr>
        <w:t xml:space="preserve"> y al FOGASA</w:t>
      </w:r>
      <w:r w:rsidR="00CC1AD6" w:rsidRPr="00211C39">
        <w:rPr>
          <w:color w:val="000000" w:themeColor="text1"/>
        </w:rPr>
        <w:t xml:space="preserve"> </w:t>
      </w:r>
      <w:r w:rsidR="00E06BDD">
        <w:t>de los</w:t>
      </w:r>
      <w:r w:rsidR="00CC1AD6">
        <w:t xml:space="preserve"> trabajadores incluidos en el Sistema Especial para Empleados de Hogar </w:t>
      </w:r>
      <w:r w:rsidR="00CC1AD6" w:rsidRPr="00262A12">
        <w:rPr>
          <w:color w:val="000000" w:themeColor="text1"/>
        </w:rPr>
        <w:t xml:space="preserve">será </w:t>
      </w:r>
      <w:r w:rsidR="00502384" w:rsidRPr="00502384">
        <w:rPr>
          <w:b/>
          <w:bCs/>
          <w:color w:val="000000" w:themeColor="text1"/>
        </w:rPr>
        <w:t>OBLIGATORIA</w:t>
      </w:r>
      <w:r w:rsidR="00CC1AD6" w:rsidRPr="00211C39">
        <w:rPr>
          <w:color w:val="000000" w:themeColor="text1"/>
          <w:sz w:val="22"/>
          <w:szCs w:val="22"/>
        </w:rPr>
        <w:t xml:space="preserve"> </w:t>
      </w:r>
      <w:r w:rsidR="00CC1AD6" w:rsidRPr="00E06BDD">
        <w:rPr>
          <w:color w:val="000000" w:themeColor="text1"/>
        </w:rPr>
        <w:t>a partir del</w:t>
      </w:r>
      <w:r w:rsidR="00CC1AD6" w:rsidRPr="00502384">
        <w:rPr>
          <w:b/>
          <w:bCs/>
          <w:color w:val="000000" w:themeColor="text1"/>
          <w:sz w:val="22"/>
          <w:szCs w:val="22"/>
        </w:rPr>
        <w:t xml:space="preserve"> </w:t>
      </w:r>
      <w:r w:rsidR="00E06BDD">
        <w:rPr>
          <w:b/>
          <w:bCs/>
          <w:color w:val="000000" w:themeColor="text1"/>
          <w:sz w:val="22"/>
          <w:szCs w:val="22"/>
        </w:rPr>
        <w:t>0</w:t>
      </w:r>
      <w:r w:rsidR="00CC1AD6" w:rsidRPr="00502384">
        <w:rPr>
          <w:b/>
          <w:bCs/>
          <w:color w:val="000000" w:themeColor="text1"/>
          <w:sz w:val="22"/>
          <w:szCs w:val="22"/>
        </w:rPr>
        <w:t>1</w:t>
      </w:r>
      <w:r w:rsidR="00E06BDD">
        <w:rPr>
          <w:b/>
          <w:bCs/>
          <w:color w:val="000000" w:themeColor="text1"/>
          <w:sz w:val="22"/>
          <w:szCs w:val="22"/>
        </w:rPr>
        <w:t>-10-2022.</w:t>
      </w:r>
    </w:p>
    <w:p w14:paraId="61369D8C" w14:textId="77777777" w:rsidR="00006503" w:rsidRPr="00E06BDD" w:rsidRDefault="00006503" w:rsidP="00CC1AD6">
      <w:pPr>
        <w:jc w:val="both"/>
        <w:rPr>
          <w:b/>
          <w:bCs/>
          <w:sz w:val="16"/>
          <w:szCs w:val="16"/>
        </w:rPr>
      </w:pPr>
    </w:p>
    <w:p w14:paraId="5081B808" w14:textId="4B7BEFB6" w:rsidR="00CC1AD6" w:rsidRPr="00006503" w:rsidRDefault="002E5D8D" w:rsidP="00CC1AD6">
      <w:pPr>
        <w:jc w:val="both"/>
        <w:rPr>
          <w:sz w:val="18"/>
          <w:szCs w:val="18"/>
        </w:rPr>
      </w:pPr>
      <w:r w:rsidRPr="0052499D">
        <w:rPr>
          <w:b/>
          <w:bCs/>
          <w:color w:val="000000" w:themeColor="text1"/>
          <w:u w:val="single"/>
        </w:rPr>
        <w:t>El</w:t>
      </w:r>
      <w:r w:rsidR="00211C39" w:rsidRPr="0052499D">
        <w:rPr>
          <w:b/>
          <w:bCs/>
          <w:color w:val="000000" w:themeColor="text1"/>
          <w:u w:val="single"/>
        </w:rPr>
        <w:t xml:space="preserve"> tipo de cotización</w:t>
      </w:r>
      <w:r w:rsidR="00211C39" w:rsidRPr="0052499D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52499D">
        <w:rPr>
          <w:b/>
          <w:bCs/>
          <w:color w:val="000000" w:themeColor="text1"/>
          <w:sz w:val="18"/>
          <w:szCs w:val="18"/>
          <w:u w:val="single"/>
        </w:rPr>
        <w:t>por desempleo</w:t>
      </w:r>
      <w:r>
        <w:rPr>
          <w:sz w:val="18"/>
          <w:szCs w:val="18"/>
        </w:rPr>
        <w:t xml:space="preserve">, </w:t>
      </w:r>
      <w:r w:rsidR="00006503">
        <w:rPr>
          <w:color w:val="000000" w:themeColor="text1"/>
        </w:rPr>
        <w:t xml:space="preserve">entre el </w:t>
      </w:r>
      <w:r w:rsidR="00006503" w:rsidRPr="00502384">
        <w:rPr>
          <w:b/>
          <w:bCs/>
          <w:color w:val="000000" w:themeColor="text1"/>
        </w:rPr>
        <w:t>1 de octubre de 2022 y</w:t>
      </w:r>
      <w:r w:rsidR="00A27EC6" w:rsidRPr="00502384">
        <w:rPr>
          <w:b/>
          <w:bCs/>
          <w:color w:val="000000" w:themeColor="text1"/>
        </w:rPr>
        <w:t xml:space="preserve"> el 31 de diciembre de 2022</w:t>
      </w:r>
      <w:r w:rsidR="00A27EC6" w:rsidRPr="00502384">
        <w:rPr>
          <w:color w:val="000000" w:themeColor="text1"/>
        </w:rPr>
        <w:t xml:space="preserve"> </w:t>
      </w:r>
      <w:r w:rsidR="00A27EC6" w:rsidRPr="00A27EC6">
        <w:rPr>
          <w:color w:val="000000" w:themeColor="text1"/>
        </w:rPr>
        <w:t>ser</w:t>
      </w:r>
      <w:r>
        <w:rPr>
          <w:color w:val="000000" w:themeColor="text1"/>
        </w:rPr>
        <w:t xml:space="preserve">á </w:t>
      </w:r>
      <w:r w:rsidR="00CC1AD6" w:rsidRPr="00006503">
        <w:rPr>
          <w:sz w:val="18"/>
          <w:szCs w:val="18"/>
        </w:rPr>
        <w:t xml:space="preserve">del 6,05 del que el 5 </w:t>
      </w:r>
      <w:r w:rsidR="00A27EC6" w:rsidRPr="00006503">
        <w:rPr>
          <w:sz w:val="18"/>
          <w:szCs w:val="18"/>
        </w:rPr>
        <w:t>%</w:t>
      </w:r>
      <w:r w:rsidR="00CC1AD6" w:rsidRPr="00006503">
        <w:rPr>
          <w:sz w:val="18"/>
          <w:szCs w:val="18"/>
        </w:rPr>
        <w:t xml:space="preserve"> será a cargo del empleador y el 1,05 </w:t>
      </w:r>
      <w:r w:rsidR="00A27EC6" w:rsidRPr="00006503">
        <w:rPr>
          <w:sz w:val="18"/>
          <w:szCs w:val="18"/>
        </w:rPr>
        <w:t>%</w:t>
      </w:r>
      <w:r w:rsidR="00CC1AD6" w:rsidRPr="00006503">
        <w:rPr>
          <w:sz w:val="18"/>
          <w:szCs w:val="18"/>
        </w:rPr>
        <w:t xml:space="preserve"> a cargo del empleado</w:t>
      </w:r>
      <w:r>
        <w:rPr>
          <w:sz w:val="18"/>
          <w:szCs w:val="18"/>
        </w:rPr>
        <w:t xml:space="preserve">, </w:t>
      </w:r>
      <w:r w:rsidRPr="0052499D">
        <w:rPr>
          <w:b/>
          <w:bCs/>
          <w:color w:val="000000" w:themeColor="text1"/>
          <w:sz w:val="18"/>
          <w:szCs w:val="18"/>
          <w:u w:val="single"/>
        </w:rPr>
        <w:t xml:space="preserve">i </w:t>
      </w:r>
      <w:r w:rsidR="00E077D4" w:rsidRPr="0052499D">
        <w:rPr>
          <w:b/>
          <w:bCs/>
          <w:color w:val="000000" w:themeColor="text1"/>
          <w:sz w:val="18"/>
          <w:szCs w:val="18"/>
          <w:u w:val="single"/>
        </w:rPr>
        <w:t>el tipo de cotización al FOGASA</w:t>
      </w:r>
      <w:r w:rsidR="00E077D4">
        <w:rPr>
          <w:sz w:val="18"/>
          <w:szCs w:val="18"/>
        </w:rPr>
        <w:t xml:space="preserve"> </w:t>
      </w:r>
      <w:r w:rsidR="00CC1AD6" w:rsidRPr="00006503">
        <w:rPr>
          <w:sz w:val="18"/>
          <w:szCs w:val="18"/>
        </w:rPr>
        <w:t>será de 0,2 a cargo exclusivo del empleador.</w:t>
      </w:r>
    </w:p>
    <w:p w14:paraId="1B7DEB57" w14:textId="3A7677BE" w:rsidR="00CC1AD6" w:rsidRDefault="00CC1AD6" w:rsidP="00CC1AD6">
      <w:pPr>
        <w:jc w:val="both"/>
      </w:pPr>
    </w:p>
    <w:p w14:paraId="20DDFD99" w14:textId="67A6EFCD" w:rsidR="00CC1AD6" w:rsidRPr="00E077D4" w:rsidRDefault="00CC1AD6" w:rsidP="00CC1AD6">
      <w:pPr>
        <w:jc w:val="both"/>
        <w:rPr>
          <w:sz w:val="18"/>
          <w:szCs w:val="18"/>
        </w:rPr>
      </w:pPr>
      <w:r>
        <w:t xml:space="preserve">La aportación empresarial a la cotización por desempleo y al FOGASA a este Sistema Especial tendrá derecho a una </w:t>
      </w:r>
      <w:r w:rsidRPr="00502384">
        <w:rPr>
          <w:b/>
          <w:bCs/>
          <w:color w:val="000000" w:themeColor="text1"/>
        </w:rPr>
        <w:t>bonificación del 80 %</w:t>
      </w:r>
      <w:r w:rsidRPr="00502384">
        <w:rPr>
          <w:color w:val="000000" w:themeColor="text1"/>
        </w:rPr>
        <w:t xml:space="preserve"> </w:t>
      </w:r>
      <w:r w:rsidRPr="00E077D4">
        <w:rPr>
          <w:sz w:val="18"/>
          <w:szCs w:val="18"/>
        </w:rPr>
        <w:t>que será financiada por el SEPE y el FOG</w:t>
      </w:r>
      <w:r w:rsidR="00BE5EA0">
        <w:rPr>
          <w:sz w:val="18"/>
          <w:szCs w:val="18"/>
        </w:rPr>
        <w:t>A</w:t>
      </w:r>
      <w:r w:rsidRPr="00E077D4">
        <w:rPr>
          <w:sz w:val="18"/>
          <w:szCs w:val="18"/>
        </w:rPr>
        <w:t>SA</w:t>
      </w:r>
      <w:r w:rsidR="00A27EC6" w:rsidRPr="00E077D4">
        <w:rPr>
          <w:sz w:val="18"/>
          <w:szCs w:val="18"/>
        </w:rPr>
        <w:t>.</w:t>
      </w:r>
    </w:p>
    <w:p w14:paraId="11CC62EB" w14:textId="77777777" w:rsidR="00211C39" w:rsidRPr="00211C39" w:rsidRDefault="00211C39" w:rsidP="00211C39">
      <w:pPr>
        <w:jc w:val="both"/>
        <w:rPr>
          <w:highlight w:val="yellow"/>
        </w:rPr>
      </w:pPr>
    </w:p>
    <w:p w14:paraId="2B3E94A5" w14:textId="7D2E78E9" w:rsidR="00CC1AD6" w:rsidRDefault="00112017" w:rsidP="00CC1AD6">
      <w:pPr>
        <w:jc w:val="both"/>
      </w:pPr>
      <w:r w:rsidRPr="00502384">
        <w:rPr>
          <w:color w:val="000000" w:themeColor="text1"/>
          <w:sz w:val="22"/>
          <w:szCs w:val="22"/>
        </w:rPr>
        <w:lastRenderedPageBreak/>
        <w:t>L</w:t>
      </w:r>
      <w:r w:rsidR="00CC1AD6" w:rsidRPr="00502384">
        <w:rPr>
          <w:color w:val="000000" w:themeColor="text1"/>
          <w:sz w:val="22"/>
          <w:szCs w:val="22"/>
        </w:rPr>
        <w:t>a</w:t>
      </w:r>
      <w:r w:rsidR="000A3E29">
        <w:rPr>
          <w:color w:val="000000" w:themeColor="text1"/>
          <w:sz w:val="22"/>
          <w:szCs w:val="22"/>
        </w:rPr>
        <w:t xml:space="preserve"> escala de</w:t>
      </w:r>
      <w:r w:rsidR="00CC1AD6" w:rsidRPr="00112017">
        <w:rPr>
          <w:b/>
          <w:bCs/>
          <w:color w:val="000000" w:themeColor="text1"/>
          <w:sz w:val="22"/>
          <w:szCs w:val="22"/>
        </w:rPr>
        <w:t xml:space="preserve"> </w:t>
      </w:r>
      <w:r w:rsidR="00CC1AD6" w:rsidRPr="00C51C09">
        <w:rPr>
          <w:rFonts w:ascii="Arial Negrita" w:hAnsi="Arial Negrita"/>
          <w:b/>
          <w:bCs/>
          <w:caps/>
          <w:color w:val="000000" w:themeColor="text1"/>
        </w:rPr>
        <w:t>retribuciones mensuales</w:t>
      </w:r>
      <w:r w:rsidR="00CC1AD6" w:rsidRPr="00C51C09">
        <w:rPr>
          <w:b/>
          <w:bCs/>
          <w:color w:val="000000" w:themeColor="text1"/>
          <w:sz w:val="22"/>
          <w:szCs w:val="22"/>
        </w:rPr>
        <w:t xml:space="preserve"> y las </w:t>
      </w:r>
      <w:r w:rsidR="00CC1AD6" w:rsidRPr="00C51C09">
        <w:rPr>
          <w:rFonts w:ascii="Arial Negrita" w:hAnsi="Arial Negrita"/>
          <w:b/>
          <w:bCs/>
          <w:caps/>
          <w:color w:val="000000" w:themeColor="text1"/>
        </w:rPr>
        <w:t>bases de cotización</w:t>
      </w:r>
      <w:r w:rsidR="00CC1AD6" w:rsidRPr="00C51C09">
        <w:rPr>
          <w:color w:val="000000" w:themeColor="text1"/>
        </w:rPr>
        <w:t xml:space="preserve"> </w:t>
      </w:r>
      <w:r w:rsidR="00CC1AD6">
        <w:t xml:space="preserve">en el Sistema Especial para Empleados de Hogar establecido en el Régimen General de la Seguridad Social </w:t>
      </w:r>
      <w:r w:rsidRPr="00112017">
        <w:rPr>
          <w:color w:val="000000" w:themeColor="text1"/>
        </w:rPr>
        <w:t>del</w:t>
      </w:r>
      <w:r>
        <w:rPr>
          <w:color w:val="000000" w:themeColor="text1"/>
          <w:sz w:val="22"/>
          <w:szCs w:val="22"/>
        </w:rPr>
        <w:t xml:space="preserve"> </w:t>
      </w:r>
      <w:r w:rsidR="00502384">
        <w:rPr>
          <w:b/>
          <w:bCs/>
          <w:color w:val="000000" w:themeColor="text1"/>
          <w:sz w:val="22"/>
          <w:szCs w:val="22"/>
        </w:rPr>
        <w:t>AÑO</w:t>
      </w:r>
      <w:r w:rsidRPr="00112017">
        <w:rPr>
          <w:b/>
          <w:bCs/>
          <w:color w:val="000000" w:themeColor="text1"/>
          <w:sz w:val="22"/>
          <w:szCs w:val="22"/>
        </w:rPr>
        <w:t xml:space="preserve"> 2023</w:t>
      </w:r>
      <w:r w:rsidRPr="00112017">
        <w:rPr>
          <w:color w:val="000000" w:themeColor="text1"/>
          <w:sz w:val="22"/>
          <w:szCs w:val="22"/>
        </w:rPr>
        <w:t>,</w:t>
      </w:r>
      <w:r w:rsidRPr="00112017">
        <w:rPr>
          <w:color w:val="000000" w:themeColor="text1"/>
        </w:rPr>
        <w:t xml:space="preserve"> </w:t>
      </w:r>
      <w:r w:rsidR="00CC1AD6">
        <w:t>será:</w:t>
      </w:r>
    </w:p>
    <w:p w14:paraId="64AC788B" w14:textId="77777777" w:rsidR="00112017" w:rsidRPr="00FA20B9" w:rsidRDefault="00112017" w:rsidP="00CC1AD6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393"/>
        <w:gridCol w:w="1035"/>
        <w:gridCol w:w="1549"/>
        <w:gridCol w:w="2858"/>
      </w:tblGrid>
      <w:tr w:rsidR="00112017" w:rsidRPr="00CE211F" w14:paraId="2E8310BF" w14:textId="77777777" w:rsidTr="00003118">
        <w:trPr>
          <w:tblHeader/>
        </w:trPr>
        <w:tc>
          <w:tcPr>
            <w:tcW w:w="614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9B85DA" w14:textId="77777777" w:rsidR="00112017" w:rsidRPr="00CE211F" w:rsidRDefault="00112017" w:rsidP="00003118">
            <w:pPr>
              <w:jc w:val="both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Tramo</w:t>
            </w:r>
          </w:p>
        </w:tc>
        <w:tc>
          <w:tcPr>
            <w:tcW w:w="2808" w:type="pct"/>
            <w:gridSpan w:val="4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6AD835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Retribución mensual</w:t>
            </w:r>
          </w:p>
          <w:p w14:paraId="16F54532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Euros/mes</w:t>
            </w:r>
          </w:p>
        </w:tc>
        <w:tc>
          <w:tcPr>
            <w:tcW w:w="1578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6C3DC5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Base de cotización</w:t>
            </w:r>
          </w:p>
          <w:p w14:paraId="058A87A9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Euros/mes</w:t>
            </w:r>
          </w:p>
        </w:tc>
      </w:tr>
      <w:tr w:rsidR="00112017" w:rsidRPr="00CE211F" w14:paraId="6B0B0297" w14:textId="77777777" w:rsidTr="00003118">
        <w:tc>
          <w:tcPr>
            <w:tcW w:w="614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264B9F" w14:textId="77777777" w:rsidR="00112017" w:rsidRPr="00CE211F" w:rsidRDefault="00112017" w:rsidP="00003118">
            <w:pPr>
              <w:jc w:val="both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1.°</w:t>
            </w:r>
          </w:p>
        </w:tc>
        <w:tc>
          <w:tcPr>
            <w:tcW w:w="614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30039A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Hasta</w:t>
            </w:r>
          </w:p>
        </w:tc>
        <w:tc>
          <w:tcPr>
            <w:tcW w:w="76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071A11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269,00</w:t>
            </w:r>
          </w:p>
        </w:tc>
        <w:tc>
          <w:tcPr>
            <w:tcW w:w="571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7FBFF7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F42CA4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</w:p>
        </w:tc>
        <w:tc>
          <w:tcPr>
            <w:tcW w:w="1578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61551E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250,00</w:t>
            </w:r>
          </w:p>
        </w:tc>
      </w:tr>
      <w:tr w:rsidR="00112017" w:rsidRPr="00CE211F" w14:paraId="0A2A546F" w14:textId="77777777" w:rsidTr="00003118">
        <w:tc>
          <w:tcPr>
            <w:tcW w:w="614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6F3885" w14:textId="77777777" w:rsidR="00112017" w:rsidRPr="00CE211F" w:rsidRDefault="00112017" w:rsidP="00003118">
            <w:pPr>
              <w:jc w:val="both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2.°</w:t>
            </w:r>
          </w:p>
        </w:tc>
        <w:tc>
          <w:tcPr>
            <w:tcW w:w="614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D812D1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Desde</w:t>
            </w:r>
          </w:p>
        </w:tc>
        <w:tc>
          <w:tcPr>
            <w:tcW w:w="76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56C739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269,01</w:t>
            </w:r>
          </w:p>
        </w:tc>
        <w:tc>
          <w:tcPr>
            <w:tcW w:w="571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25B3BD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Hasta</w:t>
            </w:r>
          </w:p>
        </w:tc>
        <w:tc>
          <w:tcPr>
            <w:tcW w:w="85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6D584A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418,00</w:t>
            </w:r>
          </w:p>
        </w:tc>
        <w:tc>
          <w:tcPr>
            <w:tcW w:w="1578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E0E7D2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357,00</w:t>
            </w:r>
          </w:p>
        </w:tc>
      </w:tr>
      <w:tr w:rsidR="00112017" w:rsidRPr="00CE211F" w14:paraId="37F8F382" w14:textId="77777777" w:rsidTr="00003118">
        <w:tc>
          <w:tcPr>
            <w:tcW w:w="614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F5E498" w14:textId="77777777" w:rsidR="00112017" w:rsidRPr="00CE211F" w:rsidRDefault="00112017" w:rsidP="00003118">
            <w:pPr>
              <w:jc w:val="both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3.°</w:t>
            </w:r>
          </w:p>
        </w:tc>
        <w:tc>
          <w:tcPr>
            <w:tcW w:w="614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4F4C86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Desde</w:t>
            </w:r>
          </w:p>
        </w:tc>
        <w:tc>
          <w:tcPr>
            <w:tcW w:w="76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377816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418,01</w:t>
            </w:r>
          </w:p>
        </w:tc>
        <w:tc>
          <w:tcPr>
            <w:tcW w:w="571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06C1CD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Hasta</w:t>
            </w:r>
          </w:p>
        </w:tc>
        <w:tc>
          <w:tcPr>
            <w:tcW w:w="85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45BF32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568,00</w:t>
            </w:r>
          </w:p>
        </w:tc>
        <w:tc>
          <w:tcPr>
            <w:tcW w:w="1578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C4C652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493,00</w:t>
            </w:r>
          </w:p>
        </w:tc>
      </w:tr>
      <w:tr w:rsidR="00112017" w:rsidRPr="00CE211F" w14:paraId="08B1C387" w14:textId="77777777" w:rsidTr="00003118">
        <w:tc>
          <w:tcPr>
            <w:tcW w:w="614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A29326" w14:textId="77777777" w:rsidR="00112017" w:rsidRPr="00CE211F" w:rsidRDefault="00112017" w:rsidP="00003118">
            <w:pPr>
              <w:jc w:val="both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4.°</w:t>
            </w:r>
          </w:p>
        </w:tc>
        <w:tc>
          <w:tcPr>
            <w:tcW w:w="614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F3F93D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Desde</w:t>
            </w:r>
          </w:p>
        </w:tc>
        <w:tc>
          <w:tcPr>
            <w:tcW w:w="76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AD6A3B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568,01</w:t>
            </w:r>
          </w:p>
        </w:tc>
        <w:tc>
          <w:tcPr>
            <w:tcW w:w="571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D147CE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Hasta</w:t>
            </w:r>
          </w:p>
        </w:tc>
        <w:tc>
          <w:tcPr>
            <w:tcW w:w="85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BC72AB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718,00</w:t>
            </w:r>
          </w:p>
        </w:tc>
        <w:tc>
          <w:tcPr>
            <w:tcW w:w="1578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87D2E1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643,00</w:t>
            </w:r>
          </w:p>
        </w:tc>
      </w:tr>
      <w:tr w:rsidR="00112017" w:rsidRPr="00CE211F" w14:paraId="52A2083B" w14:textId="77777777" w:rsidTr="00003118">
        <w:tc>
          <w:tcPr>
            <w:tcW w:w="614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A6D7F4" w14:textId="77777777" w:rsidR="00112017" w:rsidRPr="00CE211F" w:rsidRDefault="00112017" w:rsidP="00003118">
            <w:pPr>
              <w:jc w:val="both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5.°</w:t>
            </w:r>
          </w:p>
        </w:tc>
        <w:tc>
          <w:tcPr>
            <w:tcW w:w="614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B7712C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Desde</w:t>
            </w:r>
          </w:p>
        </w:tc>
        <w:tc>
          <w:tcPr>
            <w:tcW w:w="76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7D9467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718,01</w:t>
            </w:r>
          </w:p>
        </w:tc>
        <w:tc>
          <w:tcPr>
            <w:tcW w:w="571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B31115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Hasta</w:t>
            </w:r>
          </w:p>
        </w:tc>
        <w:tc>
          <w:tcPr>
            <w:tcW w:w="85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A3080E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869,00</w:t>
            </w:r>
          </w:p>
        </w:tc>
        <w:tc>
          <w:tcPr>
            <w:tcW w:w="1578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78C81E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794,00</w:t>
            </w:r>
          </w:p>
        </w:tc>
      </w:tr>
      <w:tr w:rsidR="00112017" w:rsidRPr="00CE211F" w14:paraId="15141C39" w14:textId="77777777" w:rsidTr="00003118">
        <w:tc>
          <w:tcPr>
            <w:tcW w:w="614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229767" w14:textId="77777777" w:rsidR="00112017" w:rsidRPr="00CE211F" w:rsidRDefault="00112017" w:rsidP="00003118">
            <w:pPr>
              <w:jc w:val="both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6.°</w:t>
            </w:r>
          </w:p>
        </w:tc>
        <w:tc>
          <w:tcPr>
            <w:tcW w:w="614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170756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Desde</w:t>
            </w:r>
          </w:p>
        </w:tc>
        <w:tc>
          <w:tcPr>
            <w:tcW w:w="76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813B91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869,01</w:t>
            </w:r>
          </w:p>
        </w:tc>
        <w:tc>
          <w:tcPr>
            <w:tcW w:w="571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D714E7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Hasta</w:t>
            </w:r>
          </w:p>
        </w:tc>
        <w:tc>
          <w:tcPr>
            <w:tcW w:w="85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4992A0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1.017,00</w:t>
            </w:r>
          </w:p>
        </w:tc>
        <w:tc>
          <w:tcPr>
            <w:tcW w:w="1578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8ABA25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943,00</w:t>
            </w:r>
          </w:p>
        </w:tc>
      </w:tr>
      <w:tr w:rsidR="00112017" w:rsidRPr="00CE211F" w14:paraId="77159145" w14:textId="77777777" w:rsidTr="00003118">
        <w:tc>
          <w:tcPr>
            <w:tcW w:w="614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8B7712" w14:textId="77777777" w:rsidR="00112017" w:rsidRPr="00CE211F" w:rsidRDefault="00112017" w:rsidP="00003118">
            <w:pPr>
              <w:jc w:val="both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7.°</w:t>
            </w:r>
          </w:p>
        </w:tc>
        <w:tc>
          <w:tcPr>
            <w:tcW w:w="614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63C880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Desde</w:t>
            </w:r>
          </w:p>
        </w:tc>
        <w:tc>
          <w:tcPr>
            <w:tcW w:w="76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0FC3F8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1.017,01</w:t>
            </w:r>
          </w:p>
        </w:tc>
        <w:tc>
          <w:tcPr>
            <w:tcW w:w="571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DDE964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Hasta</w:t>
            </w:r>
          </w:p>
        </w:tc>
        <w:tc>
          <w:tcPr>
            <w:tcW w:w="85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4F9B89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1.166,669</w:t>
            </w:r>
          </w:p>
        </w:tc>
        <w:tc>
          <w:tcPr>
            <w:tcW w:w="1578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0EBA80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1.166,70</w:t>
            </w:r>
          </w:p>
        </w:tc>
      </w:tr>
      <w:tr w:rsidR="00112017" w:rsidRPr="00CE211F" w14:paraId="31D9F67F" w14:textId="77777777" w:rsidTr="00003118">
        <w:tc>
          <w:tcPr>
            <w:tcW w:w="614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72FCEE" w14:textId="77777777" w:rsidR="00112017" w:rsidRPr="00CE211F" w:rsidRDefault="00112017" w:rsidP="00003118">
            <w:pPr>
              <w:jc w:val="both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8.°</w:t>
            </w:r>
          </w:p>
        </w:tc>
        <w:tc>
          <w:tcPr>
            <w:tcW w:w="614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5DE97E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Desde</w:t>
            </w:r>
          </w:p>
        </w:tc>
        <w:tc>
          <w:tcPr>
            <w:tcW w:w="76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D32EA3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1.166,67</w:t>
            </w:r>
          </w:p>
        </w:tc>
        <w:tc>
          <w:tcPr>
            <w:tcW w:w="571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B0EEF7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CC6C12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</w:p>
        </w:tc>
        <w:tc>
          <w:tcPr>
            <w:tcW w:w="1578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5ACF92" w14:textId="77777777" w:rsidR="00112017" w:rsidRPr="00CE211F" w:rsidRDefault="00112017" w:rsidP="00003118">
            <w:pPr>
              <w:jc w:val="center"/>
              <w:rPr>
                <w:rFonts w:eastAsia="Calibri"/>
                <w:color w:val="404040"/>
                <w:sz w:val="16"/>
                <w:szCs w:val="16"/>
                <w:lang w:eastAsia="es-ES"/>
              </w:rPr>
            </w:pPr>
            <w:r w:rsidRPr="00CE211F">
              <w:rPr>
                <w:rFonts w:eastAsia="Calibri"/>
                <w:color w:val="404040"/>
                <w:sz w:val="16"/>
                <w:szCs w:val="16"/>
                <w:lang w:eastAsia="es-ES"/>
              </w:rPr>
              <w:t>Retribución mensual</w:t>
            </w:r>
          </w:p>
        </w:tc>
      </w:tr>
    </w:tbl>
    <w:p w14:paraId="1AD9492C" w14:textId="00167C3D" w:rsidR="00CC1AD6" w:rsidRDefault="00CC1AD6" w:rsidP="00CC1AD6">
      <w:pPr>
        <w:jc w:val="both"/>
      </w:pPr>
    </w:p>
    <w:p w14:paraId="02F8ECC2" w14:textId="77777777" w:rsidR="00CC1AD6" w:rsidRPr="00112017" w:rsidRDefault="00CC1AD6" w:rsidP="00CC1AD6">
      <w:pPr>
        <w:jc w:val="both"/>
      </w:pPr>
      <w:r w:rsidRPr="00112017">
        <w:t>Los intervalos de retribuciones, así como las bases de cotización se actualizarán en la misma proporción que lo haga el SMI para el año 2023.</w:t>
      </w:r>
    </w:p>
    <w:p w14:paraId="229F6E66" w14:textId="77777777" w:rsidR="00CC1AD6" w:rsidRPr="00FA20B9" w:rsidRDefault="00CC1AD6" w:rsidP="00CC1AD6">
      <w:pPr>
        <w:jc w:val="both"/>
        <w:rPr>
          <w:sz w:val="16"/>
          <w:szCs w:val="16"/>
        </w:rPr>
      </w:pPr>
    </w:p>
    <w:p w14:paraId="7A906B8F" w14:textId="535919CD" w:rsidR="00CC1AD6" w:rsidRPr="00820D69" w:rsidRDefault="005B173F" w:rsidP="00CC1AD6">
      <w:pPr>
        <w:jc w:val="both"/>
      </w:pPr>
      <w:r w:rsidRPr="005B173F">
        <w:rPr>
          <w:sz w:val="22"/>
          <w:szCs w:val="22"/>
        </w:rPr>
        <w:t xml:space="preserve">Con efectos desde el </w:t>
      </w:r>
      <w:r w:rsidRPr="005B173F">
        <w:rPr>
          <w:b/>
          <w:bCs/>
          <w:color w:val="000000" w:themeColor="text1"/>
          <w:sz w:val="22"/>
          <w:szCs w:val="22"/>
        </w:rPr>
        <w:t>1 de enero de 2023</w:t>
      </w:r>
      <w:r>
        <w:t>,</w:t>
      </w:r>
      <w:r w:rsidRPr="00820D69">
        <w:t xml:space="preserve"> </w:t>
      </w:r>
      <w:r w:rsidRPr="00820D69">
        <w:rPr>
          <w:color w:val="000000" w:themeColor="text1"/>
        </w:rPr>
        <w:t>l</w:t>
      </w:r>
      <w:r w:rsidR="00CC1AD6" w:rsidRPr="00820D69">
        <w:rPr>
          <w:color w:val="000000" w:themeColor="text1"/>
        </w:rPr>
        <w:t xml:space="preserve">as </w:t>
      </w:r>
      <w:r w:rsidR="00820D69">
        <w:rPr>
          <w:color w:val="000000" w:themeColor="text1"/>
          <w:u w:val="single"/>
        </w:rPr>
        <w:t>PERSONAS TRABAJADORAS</w:t>
      </w:r>
      <w:r w:rsidR="00CC1AD6" w:rsidRPr="005B173F">
        <w:rPr>
          <w:color w:val="000000" w:themeColor="text1"/>
        </w:rPr>
        <w:t xml:space="preserve"> </w:t>
      </w:r>
      <w:r w:rsidR="00CC1AD6">
        <w:t xml:space="preserve">incluidas en el Sistema Especial para Empleados del Hogar del RGSS que </w:t>
      </w:r>
      <w:r w:rsidR="00CC1AD6" w:rsidRPr="00112017">
        <w:rPr>
          <w:b/>
          <w:bCs/>
          <w:color w:val="000000" w:themeColor="text1"/>
          <w:sz w:val="22"/>
          <w:szCs w:val="22"/>
        </w:rPr>
        <w:t>presten servicios durante menos de 60 horas mensuales por empleador</w:t>
      </w:r>
      <w:r w:rsidR="00CC1AD6">
        <w:t xml:space="preserve">, </w:t>
      </w:r>
      <w:r w:rsidR="00820D69">
        <w:rPr>
          <w:u w:val="single"/>
        </w:rPr>
        <w:t>NO PODRÁN</w:t>
      </w:r>
      <w:r w:rsidR="00CC1AD6" w:rsidRPr="00112017">
        <w:rPr>
          <w:u w:val="single"/>
        </w:rPr>
        <w:t xml:space="preserve"> </w:t>
      </w:r>
      <w:r w:rsidR="00CC1AD6" w:rsidRPr="00820D69">
        <w:t xml:space="preserve">formular directamente su afiliación, alta, baja y variaciones de datos. </w:t>
      </w:r>
    </w:p>
    <w:p w14:paraId="117B570C" w14:textId="77777777" w:rsidR="00CC1AD6" w:rsidRPr="00FA20B9" w:rsidRDefault="00CC1AD6" w:rsidP="00CC1AD6">
      <w:pPr>
        <w:jc w:val="both"/>
        <w:rPr>
          <w:sz w:val="16"/>
          <w:szCs w:val="16"/>
        </w:rPr>
      </w:pPr>
    </w:p>
    <w:p w14:paraId="50A45972" w14:textId="457023F4" w:rsidR="00CC1AD6" w:rsidRDefault="00CC1AD6" w:rsidP="00CC1AD6">
      <w:pPr>
        <w:jc w:val="both"/>
      </w:pPr>
      <w:r w:rsidRPr="005B173F">
        <w:rPr>
          <w:b/>
          <w:bCs/>
          <w:color w:val="000000" w:themeColor="text1"/>
          <w:sz w:val="22"/>
          <w:szCs w:val="22"/>
        </w:rPr>
        <w:t>A partir del día 1 de enero de 2023,</w:t>
      </w:r>
      <w:r w:rsidRPr="00820D69">
        <w:rPr>
          <w:b/>
          <w:bCs/>
          <w:color w:val="000000" w:themeColor="text1"/>
          <w:sz w:val="22"/>
          <w:szCs w:val="22"/>
        </w:rPr>
        <w:t xml:space="preserve"> </w:t>
      </w:r>
      <w:r w:rsidRPr="00820D69">
        <w:rPr>
          <w:color w:val="000000" w:themeColor="text1"/>
          <w:sz w:val="22"/>
          <w:szCs w:val="22"/>
        </w:rPr>
        <w:t>l</w:t>
      </w:r>
      <w:r w:rsidRPr="00820D69">
        <w:rPr>
          <w:color w:val="000000" w:themeColor="text1"/>
        </w:rPr>
        <w:t>as</w:t>
      </w:r>
      <w:r w:rsidRPr="005B173F">
        <w:rPr>
          <w:color w:val="000000" w:themeColor="text1"/>
          <w:u w:val="single"/>
        </w:rPr>
        <w:t xml:space="preserve"> </w:t>
      </w:r>
      <w:r w:rsidRPr="00820D69">
        <w:rPr>
          <w:caps/>
          <w:color w:val="000000" w:themeColor="text1"/>
          <w:u w:val="single"/>
        </w:rPr>
        <w:t>personas empleadoras</w:t>
      </w:r>
      <w:r w:rsidRPr="005B173F">
        <w:rPr>
          <w:color w:val="000000" w:themeColor="text1"/>
        </w:rPr>
        <w:t xml:space="preserve"> </w:t>
      </w:r>
      <w:r w:rsidRPr="00820D69">
        <w:rPr>
          <w:b/>
          <w:bCs/>
          <w:color w:val="000000" w:themeColor="text1"/>
        </w:rPr>
        <w:t xml:space="preserve">asumirán las obligaciones </w:t>
      </w:r>
      <w:r w:rsidRPr="005B173F">
        <w:rPr>
          <w:color w:val="000000" w:themeColor="text1"/>
        </w:rPr>
        <w:t xml:space="preserve">en materia de cotización con relación a las personas trabajadoras al servicio del hogar </w:t>
      </w:r>
      <w:r w:rsidRPr="00942ABC">
        <w:rPr>
          <w:b/>
          <w:bCs/>
          <w:sz w:val="22"/>
          <w:szCs w:val="22"/>
        </w:rPr>
        <w:t>que</w:t>
      </w:r>
      <w:r>
        <w:t xml:space="preserve"> </w:t>
      </w:r>
      <w:r w:rsidRPr="005B173F">
        <w:rPr>
          <w:b/>
          <w:bCs/>
          <w:color w:val="000000" w:themeColor="text1"/>
          <w:sz w:val="22"/>
          <w:szCs w:val="22"/>
        </w:rPr>
        <w:t xml:space="preserve">presten sus servicios durante menos de 60 horas mensuales </w:t>
      </w:r>
      <w:r>
        <w:t xml:space="preserve">por persona empleadora y que hubieran acordado con esta última, </w:t>
      </w:r>
      <w:r w:rsidRPr="00942ABC">
        <w:rPr>
          <w:b/>
          <w:bCs/>
          <w:color w:val="000000" w:themeColor="text1"/>
        </w:rPr>
        <w:t>con anterioridad a la entrada en vigor de este real decreto-ley</w:t>
      </w:r>
      <w:r>
        <w:t xml:space="preserve">, la asunción de las obligaciones en materia de encuadramiento y cotización en el Sistema Especial. A estos efectos, </w:t>
      </w:r>
      <w:r w:rsidRPr="005B173F">
        <w:rPr>
          <w:b/>
          <w:bCs/>
          <w:color w:val="000000" w:themeColor="text1"/>
        </w:rPr>
        <w:t xml:space="preserve">las personas empleadoras </w:t>
      </w:r>
      <w:r w:rsidRPr="00091E31">
        <w:rPr>
          <w:color w:val="000000" w:themeColor="text1"/>
          <w:u w:val="single"/>
        </w:rPr>
        <w:t xml:space="preserve">deberán </w:t>
      </w:r>
      <w:r w:rsidR="00091E31" w:rsidRPr="00091E31">
        <w:rPr>
          <w:color w:val="000000" w:themeColor="text1"/>
          <w:u w:val="single"/>
        </w:rPr>
        <w:t>COMUNICAR</w:t>
      </w:r>
      <w:r w:rsidRPr="00091E31">
        <w:rPr>
          <w:color w:val="000000" w:themeColor="text1"/>
          <w:u w:val="single"/>
        </w:rPr>
        <w:t xml:space="preserve"> </w:t>
      </w:r>
      <w:r w:rsidRPr="00091E31">
        <w:rPr>
          <w:color w:val="000000" w:themeColor="text1"/>
        </w:rPr>
        <w:t>a la TGSS,</w:t>
      </w:r>
      <w:r w:rsidRPr="00942ABC">
        <w:rPr>
          <w:color w:val="000000" w:themeColor="text1"/>
          <w:u w:val="single"/>
        </w:rPr>
        <w:t xml:space="preserve"> </w:t>
      </w:r>
      <w:r w:rsidRPr="00091E31">
        <w:rPr>
          <w:b/>
          <w:bCs/>
          <w:color w:val="000000" w:themeColor="text1"/>
          <w:u w:val="single"/>
        </w:rPr>
        <w:t xml:space="preserve">durante el mes de enero de 2023, </w:t>
      </w:r>
      <w:r w:rsidRPr="00942ABC">
        <w:rPr>
          <w:color w:val="000000" w:themeColor="text1"/>
        </w:rPr>
        <w:t>los datos necesarios para el cálculo y el pago de las cuotas de la Seguridad Social, y en especial los datos bancarios</w:t>
      </w:r>
      <w:r w:rsidRPr="005B173F">
        <w:rPr>
          <w:color w:val="000000" w:themeColor="text1"/>
        </w:rPr>
        <w:t xml:space="preserve"> </w:t>
      </w:r>
      <w:r>
        <w:t xml:space="preserve">precisos para el pago de las cotizaciones, así como la entidad gestora o en su caso colaboradora de la Seguridad Social por la que optan a efectos de la cobertura de las contingencias profesionales, siempre y cuando todos estos datos no se hubiesen comunicado con anterioridad. </w:t>
      </w:r>
    </w:p>
    <w:p w14:paraId="1BD81425" w14:textId="77777777" w:rsidR="00942ABC" w:rsidRPr="00FA20B9" w:rsidRDefault="00942ABC" w:rsidP="00CC1AD6">
      <w:pPr>
        <w:jc w:val="both"/>
        <w:rPr>
          <w:sz w:val="16"/>
          <w:szCs w:val="16"/>
        </w:rPr>
      </w:pPr>
    </w:p>
    <w:p w14:paraId="7746FDC3" w14:textId="23E3FBE8" w:rsidR="00CC1AD6" w:rsidRDefault="00CC1AD6" w:rsidP="00CC1AD6">
      <w:pPr>
        <w:jc w:val="both"/>
      </w:pPr>
      <w:r w:rsidRPr="003815EB">
        <w:rPr>
          <w:b/>
          <w:bCs/>
          <w:color w:val="000000" w:themeColor="text1"/>
          <w:sz w:val="22"/>
          <w:szCs w:val="22"/>
        </w:rPr>
        <w:t>A partir del 1 de octubre de 2022</w:t>
      </w:r>
      <w:r w:rsidRPr="00E23DFC">
        <w:rPr>
          <w:b/>
          <w:bCs/>
          <w:sz w:val="22"/>
          <w:szCs w:val="22"/>
        </w:rPr>
        <w:t>,</w:t>
      </w:r>
      <w:r>
        <w:t xml:space="preserve"> las personas que tengan contratada o contraten bajo cualquier modalidad contractual a una persona trabajadora al servicio del hogar y le den de alta en el Régimen General de la Seguridad Social, tendrán derecho a una </w:t>
      </w:r>
      <w:r w:rsidRPr="00E23DFC">
        <w:rPr>
          <w:sz w:val="22"/>
          <w:szCs w:val="22"/>
          <w:u w:val="single"/>
        </w:rPr>
        <w:t>reducción del 20 % en la aportación empresarial</w:t>
      </w:r>
      <w:r>
        <w:t xml:space="preserve"> a la cotización a la Seguridad Social por contingencias comunes correspondiente al Sistema Especial para Empleados de Hogar establecido en dicho régimen. </w:t>
      </w:r>
    </w:p>
    <w:p w14:paraId="679564B3" w14:textId="77777777" w:rsidR="00211C39" w:rsidRPr="00FA20B9" w:rsidRDefault="00211C39" w:rsidP="00CC1AD6">
      <w:pPr>
        <w:jc w:val="both"/>
        <w:rPr>
          <w:sz w:val="16"/>
          <w:szCs w:val="16"/>
        </w:rPr>
      </w:pPr>
    </w:p>
    <w:p w14:paraId="73651776" w14:textId="5A59EEA5" w:rsidR="00CC1AD6" w:rsidRPr="00E23DFC" w:rsidRDefault="00CC1AD6" w:rsidP="00CC1AD6">
      <w:pPr>
        <w:jc w:val="both"/>
        <w:rPr>
          <w:b/>
          <w:bCs/>
          <w:color w:val="000000" w:themeColor="text1"/>
        </w:rPr>
      </w:pPr>
      <w:r w:rsidRPr="00916568">
        <w:rPr>
          <w:color w:val="000000" w:themeColor="text1"/>
          <w:sz w:val="22"/>
          <w:szCs w:val="22"/>
          <w:u w:val="single"/>
        </w:rPr>
        <w:t>Como alternativa a la reducción anterior</w:t>
      </w:r>
      <w:r w:rsidR="00E23DFC">
        <w:t xml:space="preserve">, </w:t>
      </w:r>
      <w:r>
        <w:t xml:space="preserve">las personas empleadoras que den de alta en el RGSS a una persona trabajadora al servicio del hogar, </w:t>
      </w:r>
      <w:r w:rsidRPr="00E23DFC">
        <w:rPr>
          <w:b/>
          <w:bCs/>
          <w:sz w:val="22"/>
          <w:szCs w:val="22"/>
        </w:rPr>
        <w:t>a partir del 1 de abril de 2023</w:t>
      </w:r>
      <w:r>
        <w:t xml:space="preserve">, tendrán derecho, durante toda la situación de alta en dicho régimen, a una </w:t>
      </w:r>
      <w:r w:rsidRPr="00E23DFC">
        <w:rPr>
          <w:sz w:val="22"/>
          <w:szCs w:val="22"/>
          <w:u w:val="single"/>
        </w:rPr>
        <w:t>bonificación del 45 % o del 30 %</w:t>
      </w:r>
      <w:r>
        <w:t xml:space="preserve"> </w:t>
      </w:r>
      <w:r w:rsidRPr="00E23DFC">
        <w:rPr>
          <w:color w:val="595959" w:themeColor="text1" w:themeTint="A6"/>
          <w:sz w:val="22"/>
          <w:szCs w:val="22"/>
          <w:u w:val="single"/>
        </w:rPr>
        <w:t>en la aportación empresarial</w:t>
      </w:r>
      <w:r w:rsidRPr="00E23DFC">
        <w:rPr>
          <w:color w:val="595959" w:themeColor="text1" w:themeTint="A6"/>
        </w:rPr>
        <w:t xml:space="preserve"> </w:t>
      </w:r>
      <w:r>
        <w:t xml:space="preserve">a la cotización a la Seguridad Social por contingencias comunes correspondiente al Sistema Especial para Empleados de Hogar establecido en el mismo, </w:t>
      </w:r>
      <w:r w:rsidRPr="00E23DFC">
        <w:rPr>
          <w:b/>
          <w:bCs/>
          <w:color w:val="000000" w:themeColor="text1"/>
        </w:rPr>
        <w:t xml:space="preserve">cuando cumplan los requisitos de patrimonio y/o renta de la unidad familiar o de convivencia de la persona empleadora en los términos y condiciones que se fijen reglamentariamente. </w:t>
      </w:r>
    </w:p>
    <w:p w14:paraId="0841F1CC" w14:textId="77777777" w:rsidR="00CC1AD6" w:rsidRDefault="00CC1AD6" w:rsidP="00CC1AD6">
      <w:pPr>
        <w:jc w:val="both"/>
      </w:pPr>
    </w:p>
    <w:p w14:paraId="0586B5CB" w14:textId="0A739CD9" w:rsidR="00C00E30" w:rsidRDefault="00CC1AD6" w:rsidP="00CC1AD6">
      <w:pPr>
        <w:jc w:val="both"/>
      </w:pPr>
      <w:r w:rsidRPr="00931C23">
        <w:rPr>
          <w:b/>
          <w:bCs/>
          <w:color w:val="000000" w:themeColor="text1"/>
          <w:sz w:val="22"/>
          <w:szCs w:val="22"/>
        </w:rPr>
        <w:t>A partir del 1 de abril de 2023</w:t>
      </w:r>
      <w:r w:rsidRPr="00931C23">
        <w:rPr>
          <w:color w:val="000000" w:themeColor="text1"/>
        </w:rPr>
        <w:t xml:space="preserve"> </w:t>
      </w:r>
      <w:r>
        <w:t xml:space="preserve">queda </w:t>
      </w:r>
      <w:r w:rsidRPr="00916568">
        <w:rPr>
          <w:b/>
          <w:bCs/>
          <w:sz w:val="22"/>
          <w:szCs w:val="22"/>
        </w:rPr>
        <w:t>derogad</w:t>
      </w:r>
      <w:r w:rsidR="00916568" w:rsidRPr="00916568">
        <w:rPr>
          <w:b/>
          <w:bCs/>
          <w:sz w:val="22"/>
          <w:szCs w:val="22"/>
        </w:rPr>
        <w:t>a</w:t>
      </w:r>
      <w:r w:rsidR="00916568">
        <w:t xml:space="preserve"> </w:t>
      </w:r>
      <w:r w:rsidRPr="00916568">
        <w:rPr>
          <w:color w:val="000000" w:themeColor="text1"/>
          <w:u w:val="single"/>
        </w:rPr>
        <w:t>la bonificación</w:t>
      </w:r>
      <w:r w:rsidRPr="00916568">
        <w:rPr>
          <w:color w:val="000000" w:themeColor="text1"/>
        </w:rPr>
        <w:t xml:space="preserve"> </w:t>
      </w:r>
      <w:r>
        <w:t xml:space="preserve">del 45 % en las cuotas de la Seguridad Social por </w:t>
      </w:r>
      <w:r w:rsidRPr="00916568">
        <w:rPr>
          <w:color w:val="000000" w:themeColor="text1"/>
          <w:u w:val="single"/>
        </w:rPr>
        <w:t>contratación de cuidadores en familias numerosas</w:t>
      </w:r>
      <w:r>
        <w:t>, y se establece un régimen transitorio</w:t>
      </w:r>
      <w:r w:rsidR="00DF708C">
        <w:t xml:space="preserve"> para las </w:t>
      </w:r>
      <w:r>
        <w:t xml:space="preserve">bonificaciones que se estuvieran aplicando el 1 de abril de 2023, </w:t>
      </w:r>
      <w:r w:rsidR="00C00E30">
        <w:t xml:space="preserve">que </w:t>
      </w:r>
      <w:r w:rsidRPr="00916568">
        <w:rPr>
          <w:b/>
          <w:bCs/>
          <w:color w:val="000000" w:themeColor="text1"/>
        </w:rPr>
        <w:t xml:space="preserve">mantendrán su vigencia hasta la fecha de efectos de la baja de los cuidadores </w:t>
      </w:r>
      <w:r>
        <w:t>que den derecho a las mismas en el Régimen General de la Seguridad Social</w:t>
      </w:r>
      <w:r w:rsidR="00916568">
        <w:t>, y serán incompatibles con la nueva reducción y bonificación alternativa.</w:t>
      </w:r>
    </w:p>
    <w:p w14:paraId="0C46E3E6" w14:textId="77777777" w:rsidR="00FA20B9" w:rsidRPr="00FA20B9" w:rsidRDefault="00FA20B9" w:rsidP="00CC1AD6">
      <w:pPr>
        <w:jc w:val="both"/>
        <w:rPr>
          <w:sz w:val="16"/>
          <w:szCs w:val="16"/>
        </w:rPr>
      </w:pPr>
    </w:p>
    <w:p w14:paraId="1054F672" w14:textId="55FDFFB0" w:rsidR="00FA20B9" w:rsidRDefault="00FA20B9" w:rsidP="00CC1AD6">
      <w:pPr>
        <w:jc w:val="both"/>
      </w:pPr>
      <w:r w:rsidRPr="00FA20B9">
        <w:t>Ante cualquier duda o para completar los contenidos pueden contactar con nuestro despacho</w:t>
      </w:r>
    </w:p>
    <w:sectPr w:rsidR="00FA20B9" w:rsidSect="003703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D6"/>
    <w:rsid w:val="00005D6F"/>
    <w:rsid w:val="00006503"/>
    <w:rsid w:val="000149A5"/>
    <w:rsid w:val="00047F7C"/>
    <w:rsid w:val="00091E31"/>
    <w:rsid w:val="000A3E29"/>
    <w:rsid w:val="000F6014"/>
    <w:rsid w:val="00112017"/>
    <w:rsid w:val="0014065C"/>
    <w:rsid w:val="002105BE"/>
    <w:rsid w:val="00211C39"/>
    <w:rsid w:val="00213660"/>
    <w:rsid w:val="00224D3C"/>
    <w:rsid w:val="00262A12"/>
    <w:rsid w:val="002A7DC1"/>
    <w:rsid w:val="002C4307"/>
    <w:rsid w:val="002E5D8D"/>
    <w:rsid w:val="00370325"/>
    <w:rsid w:val="003815EB"/>
    <w:rsid w:val="003B03FC"/>
    <w:rsid w:val="00410E6A"/>
    <w:rsid w:val="00450383"/>
    <w:rsid w:val="004B0E91"/>
    <w:rsid w:val="004C617C"/>
    <w:rsid w:val="00502384"/>
    <w:rsid w:val="0052499D"/>
    <w:rsid w:val="00531A0A"/>
    <w:rsid w:val="005A4BC4"/>
    <w:rsid w:val="005B173F"/>
    <w:rsid w:val="005D49FA"/>
    <w:rsid w:val="00686743"/>
    <w:rsid w:val="006C4EA7"/>
    <w:rsid w:val="00820D69"/>
    <w:rsid w:val="00916568"/>
    <w:rsid w:val="00930E0E"/>
    <w:rsid w:val="00931C23"/>
    <w:rsid w:val="00942ABC"/>
    <w:rsid w:val="009972A6"/>
    <w:rsid w:val="009B3DC1"/>
    <w:rsid w:val="009D6C6F"/>
    <w:rsid w:val="00A27EC6"/>
    <w:rsid w:val="00AC50AE"/>
    <w:rsid w:val="00B10404"/>
    <w:rsid w:val="00B44B3F"/>
    <w:rsid w:val="00BE5EA0"/>
    <w:rsid w:val="00C00E30"/>
    <w:rsid w:val="00C23A18"/>
    <w:rsid w:val="00C51C09"/>
    <w:rsid w:val="00CC1AD6"/>
    <w:rsid w:val="00D3051E"/>
    <w:rsid w:val="00DC6F82"/>
    <w:rsid w:val="00DF708C"/>
    <w:rsid w:val="00E03C48"/>
    <w:rsid w:val="00E05E99"/>
    <w:rsid w:val="00E0677E"/>
    <w:rsid w:val="00E06BDD"/>
    <w:rsid w:val="00E077D4"/>
    <w:rsid w:val="00E23DFC"/>
    <w:rsid w:val="00E31670"/>
    <w:rsid w:val="00EB0D3A"/>
    <w:rsid w:val="00FA0034"/>
    <w:rsid w:val="00FA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6405"/>
  <w15:chartTrackingRefBased/>
  <w15:docId w15:val="{78FB0CE4-3209-4842-80E9-F84B008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404040" w:themeColor="text1" w:themeTint="BF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1135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SÍNTESIS DIÀRIA</dc:creator>
  <cp:keywords/>
  <dc:description/>
  <cp:lastModifiedBy>SÍNTESIS DIÀRIA</cp:lastModifiedBy>
  <cp:revision>39</cp:revision>
  <cp:lastPrinted>2022-09-12T16:18:00Z</cp:lastPrinted>
  <dcterms:created xsi:type="dcterms:W3CDTF">2022-09-12T14:19:00Z</dcterms:created>
  <dcterms:modified xsi:type="dcterms:W3CDTF">2022-09-13T09:58:00Z</dcterms:modified>
</cp:coreProperties>
</file>