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8132" w14:textId="77777777" w:rsidR="007E5125" w:rsidRPr="000729C9" w:rsidRDefault="007E5125" w:rsidP="00554713">
      <w:pPr>
        <w:spacing w:after="0" w:line="240" w:lineRule="auto"/>
        <w:jc w:val="center"/>
        <w:rPr>
          <w:rFonts w:ascii="Arial Negrita" w:hAnsi="Arial Negrita" w:cs="Arial"/>
          <w:b/>
          <w:bCs/>
          <w:noProof/>
          <w:color w:val="595959" w:themeColor="text1" w:themeTint="A6"/>
          <w:spacing w:val="320"/>
          <w:sz w:val="24"/>
          <w:szCs w:val="24"/>
          <w:lang w:val="ca-ES"/>
        </w:rPr>
      </w:pPr>
      <w:r w:rsidRPr="000729C9">
        <w:rPr>
          <w:rFonts w:ascii="Arial Negrita" w:hAnsi="Arial Negrita" w:cs="Arial"/>
          <w:b/>
          <w:bCs/>
          <w:noProof/>
          <w:color w:val="595959" w:themeColor="text1" w:themeTint="A6"/>
          <w:spacing w:val="320"/>
          <w:sz w:val="24"/>
          <w:szCs w:val="24"/>
          <w:lang w:val="ca-ES"/>
        </w:rPr>
        <w:t>CIRCULAR</w:t>
      </w:r>
    </w:p>
    <w:p w14:paraId="2A562BCA" w14:textId="30ECAB80" w:rsidR="007E5125" w:rsidRPr="000729C9" w:rsidRDefault="007E5125" w:rsidP="0090518B">
      <w:pPr>
        <w:pStyle w:val="Sinespaciado"/>
        <w:jc w:val="both"/>
        <w:rPr>
          <w:rFonts w:ascii="Arial" w:hAnsi="Arial" w:cs="Arial"/>
          <w:noProof/>
          <w:sz w:val="20"/>
          <w:szCs w:val="20"/>
          <w:lang w:val="ca-ES"/>
        </w:rPr>
      </w:pPr>
    </w:p>
    <w:p w14:paraId="46DAA8F1" w14:textId="6C9CA735" w:rsidR="007E5125" w:rsidRPr="000729C9" w:rsidRDefault="007E5125" w:rsidP="0039523A">
      <w:pPr>
        <w:spacing w:after="0" w:line="240" w:lineRule="auto"/>
        <w:jc w:val="both"/>
        <w:rPr>
          <w:rFonts w:ascii="Arial" w:hAnsi="Arial" w:cs="Arial"/>
          <w:noProof/>
          <w:color w:val="404040" w:themeColor="text1" w:themeTint="BF"/>
          <w:lang w:val="ca-ES"/>
        </w:rPr>
      </w:pPr>
      <w:r w:rsidRPr="000729C9">
        <w:rPr>
          <w:rFonts w:ascii="Arial" w:hAnsi="Arial" w:cs="Arial"/>
          <w:noProof/>
          <w:color w:val="404040" w:themeColor="text1" w:themeTint="BF"/>
          <w:lang w:val="ca-ES"/>
        </w:rPr>
        <w:t>El Reial decret</w:t>
      </w:r>
      <w:r w:rsidR="00CE350F">
        <w:rPr>
          <w:rFonts w:ascii="Arial" w:hAnsi="Arial" w:cs="Arial"/>
          <w:noProof/>
          <w:color w:val="404040" w:themeColor="text1" w:themeTint="BF"/>
          <w:lang w:val="ca-ES"/>
        </w:rPr>
        <w:t xml:space="preserve"> </w:t>
      </w:r>
      <w:r w:rsidRPr="000729C9">
        <w:rPr>
          <w:rFonts w:ascii="Arial" w:hAnsi="Arial" w:cs="Arial"/>
          <w:noProof/>
          <w:color w:val="404040" w:themeColor="text1" w:themeTint="BF"/>
          <w:lang w:val="ca-ES"/>
        </w:rPr>
        <w:t xml:space="preserve">llei 16/2022 (BOE 08/09/2022) de millora de les condicions de treball i de Seguretat Social de les persones treballadores al servei de la llar, entra en vigor el 9 de setembre de 2022, </w:t>
      </w:r>
      <w:r w:rsidR="00B4673B" w:rsidRPr="00B4673B">
        <w:rPr>
          <w:rFonts w:ascii="Arial" w:hAnsi="Arial" w:cs="Arial"/>
          <w:noProof/>
          <w:color w:val="404040" w:themeColor="text1" w:themeTint="BF"/>
          <w:lang w:val="ca-ES"/>
        </w:rPr>
        <w:t>i serà aplicable als contractes vigents a partir d'aquesta data</w:t>
      </w:r>
      <w:r w:rsidR="00B4673B">
        <w:rPr>
          <w:rFonts w:ascii="Arial" w:hAnsi="Arial" w:cs="Arial"/>
          <w:noProof/>
          <w:color w:val="404040" w:themeColor="text1" w:themeTint="BF"/>
          <w:lang w:val="ca-ES"/>
        </w:rPr>
        <w:t>,</w:t>
      </w:r>
      <w:r w:rsidR="00B4673B" w:rsidRPr="00B4673B">
        <w:rPr>
          <w:rFonts w:ascii="Arial" w:hAnsi="Arial" w:cs="Arial"/>
          <w:noProof/>
          <w:color w:val="404040" w:themeColor="text1" w:themeTint="BF"/>
          <w:lang w:val="ca-ES"/>
        </w:rPr>
        <w:t xml:space="preserve"> </w:t>
      </w:r>
      <w:r w:rsidRPr="000729C9">
        <w:rPr>
          <w:rFonts w:ascii="Arial" w:hAnsi="Arial" w:cs="Arial"/>
          <w:noProof/>
          <w:color w:val="404040" w:themeColor="text1" w:themeTint="BF"/>
          <w:lang w:val="ca-ES"/>
        </w:rPr>
        <w:t>amb algunes excepcions. Aquestes són les principals novetats:</w:t>
      </w:r>
    </w:p>
    <w:p w14:paraId="4D90071B" w14:textId="77777777" w:rsidR="007E5125" w:rsidRPr="000729C9" w:rsidRDefault="007E5125" w:rsidP="0090518B">
      <w:pPr>
        <w:pStyle w:val="Sinespaciado"/>
        <w:jc w:val="both"/>
        <w:rPr>
          <w:rFonts w:ascii="Arial" w:hAnsi="Arial" w:cs="Arial"/>
          <w:noProof/>
          <w:sz w:val="16"/>
          <w:szCs w:val="16"/>
          <w:lang w:val="ca-ES"/>
        </w:rPr>
      </w:pPr>
    </w:p>
    <w:p w14:paraId="296D83AE" w14:textId="77777777" w:rsidR="007E5125" w:rsidRPr="000729C9" w:rsidRDefault="007E5125" w:rsidP="00965E17">
      <w:pPr>
        <w:spacing w:after="0" w:line="240" w:lineRule="auto"/>
        <w:jc w:val="both"/>
        <w:rPr>
          <w:rFonts w:ascii="Arial" w:hAnsi="Arial" w:cs="Arial"/>
          <w:noProof/>
          <w:color w:val="000000" w:themeColor="text1"/>
          <w:sz w:val="24"/>
          <w:szCs w:val="24"/>
          <w:u w:val="single"/>
          <w:lang w:val="ca-ES"/>
        </w:rPr>
      </w:pPr>
      <w:r w:rsidRPr="000729C9">
        <w:rPr>
          <w:rFonts w:ascii="Arial" w:hAnsi="Arial" w:cs="Arial"/>
          <w:noProof/>
          <w:color w:val="000000" w:themeColor="text1"/>
          <w:sz w:val="24"/>
          <w:szCs w:val="24"/>
          <w:u w:val="single"/>
          <w:lang w:val="ca-ES"/>
        </w:rPr>
        <w:t>En la relació laboral de caràcter especial del servei de la llar familiar:</w:t>
      </w:r>
    </w:p>
    <w:p w14:paraId="69618120" w14:textId="77777777" w:rsidR="007E5125" w:rsidRPr="000729C9" w:rsidRDefault="007E5125" w:rsidP="0090518B">
      <w:pPr>
        <w:pStyle w:val="Sinespaciado"/>
        <w:jc w:val="both"/>
        <w:rPr>
          <w:rFonts w:ascii="Arial" w:hAnsi="Arial" w:cs="Arial"/>
          <w:noProof/>
          <w:sz w:val="20"/>
          <w:szCs w:val="20"/>
          <w:lang w:val="ca-ES"/>
        </w:rPr>
      </w:pPr>
    </w:p>
    <w:p w14:paraId="5CA39D70" w14:textId="2E1FEB41" w:rsidR="007E5125" w:rsidRPr="000729C9" w:rsidRDefault="007E5125"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Llevat de prova en contra, en defecte de pacte escrit, el contracte de treball </w:t>
      </w:r>
      <w:r w:rsidRPr="000729C9">
        <w:rPr>
          <w:rFonts w:ascii="Arial" w:hAnsi="Arial" w:cs="Arial"/>
          <w:b/>
          <w:bCs/>
          <w:noProof/>
          <w:sz w:val="20"/>
          <w:szCs w:val="20"/>
          <w:lang w:val="ca-ES"/>
        </w:rPr>
        <w:t>ES PRESSUMIRA CONCERTAT PER TEMPS</w:t>
      </w:r>
      <w:r w:rsidRPr="000729C9">
        <w:rPr>
          <w:rFonts w:ascii="Arial" w:hAnsi="Arial" w:cs="Arial"/>
          <w:noProof/>
          <w:color w:val="404040" w:themeColor="text1" w:themeTint="BF"/>
          <w:sz w:val="20"/>
          <w:szCs w:val="20"/>
          <w:lang w:val="ca-ES"/>
        </w:rPr>
        <w:t xml:space="preserve"> indefinit i</w:t>
      </w:r>
      <w:r w:rsidR="00781D45">
        <w:rPr>
          <w:rFonts w:ascii="Arial" w:hAnsi="Arial" w:cs="Arial"/>
          <w:noProof/>
          <w:color w:val="404040" w:themeColor="text1" w:themeTint="BF"/>
          <w:sz w:val="20"/>
          <w:szCs w:val="20"/>
          <w:lang w:val="ca-ES"/>
        </w:rPr>
        <w:t xml:space="preserve"> </w:t>
      </w:r>
      <w:r w:rsidRPr="000729C9">
        <w:rPr>
          <w:rFonts w:ascii="Arial" w:hAnsi="Arial" w:cs="Arial"/>
          <w:noProof/>
          <w:color w:val="404040" w:themeColor="text1" w:themeTint="BF"/>
          <w:sz w:val="20"/>
          <w:szCs w:val="20"/>
          <w:lang w:val="ca-ES"/>
        </w:rPr>
        <w:t xml:space="preserve">a jornada completa, </w:t>
      </w:r>
      <w:r w:rsidRPr="000729C9">
        <w:rPr>
          <w:rFonts w:ascii="Arial" w:hAnsi="Arial" w:cs="Arial"/>
          <w:noProof/>
          <w:sz w:val="20"/>
          <w:szCs w:val="20"/>
          <w:u w:val="single"/>
          <w:lang w:val="ca-ES"/>
        </w:rPr>
        <w:t>sigui quina sigui la durada del mateix</w:t>
      </w:r>
      <w:r w:rsidRPr="000729C9">
        <w:rPr>
          <w:rFonts w:ascii="Arial" w:hAnsi="Arial" w:cs="Arial"/>
          <w:noProof/>
          <w:color w:val="404040" w:themeColor="text1" w:themeTint="BF"/>
          <w:sz w:val="20"/>
          <w:szCs w:val="20"/>
          <w:lang w:val="ca-ES"/>
        </w:rPr>
        <w:t>, i la forma s'ajustarà al que preveu l'Estatut dels Treballadors.</w:t>
      </w:r>
    </w:p>
    <w:p w14:paraId="0BDBB259" w14:textId="77777777" w:rsidR="007E5125" w:rsidRPr="00B4673B" w:rsidRDefault="007E5125" w:rsidP="00693E75">
      <w:pPr>
        <w:spacing w:after="0" w:line="240" w:lineRule="auto"/>
        <w:jc w:val="both"/>
        <w:rPr>
          <w:rFonts w:ascii="Arial" w:hAnsi="Arial" w:cs="Arial"/>
          <w:noProof/>
          <w:color w:val="404040" w:themeColor="text1" w:themeTint="BF"/>
          <w:sz w:val="16"/>
          <w:szCs w:val="16"/>
          <w:lang w:val="ca-ES"/>
        </w:rPr>
      </w:pPr>
    </w:p>
    <w:p w14:paraId="0655BFF3" w14:textId="1B2634D9" w:rsidR="007E5125" w:rsidRPr="000729C9" w:rsidRDefault="007E5125" w:rsidP="00C572FE">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La relació laboral de caràcter especial del servei de la llar familiar </w:t>
      </w:r>
      <w:r w:rsidRPr="000729C9">
        <w:rPr>
          <w:rFonts w:ascii="Arial" w:hAnsi="Arial" w:cs="Arial"/>
          <w:b/>
          <w:bCs/>
          <w:noProof/>
          <w:sz w:val="20"/>
          <w:szCs w:val="20"/>
          <w:lang w:val="ca-ES"/>
        </w:rPr>
        <w:t>PODRÀ EXTINGIR-SE</w:t>
      </w:r>
      <w:r w:rsidRPr="000729C9">
        <w:rPr>
          <w:rFonts w:ascii="Arial" w:hAnsi="Arial" w:cs="Arial"/>
          <w:noProof/>
          <w:color w:val="404040" w:themeColor="text1" w:themeTint="BF"/>
          <w:sz w:val="20"/>
          <w:szCs w:val="20"/>
          <w:lang w:val="ca-ES"/>
        </w:rPr>
        <w:t xml:space="preserve"> per les causes establertes a l'article 49.1 de l'Estatut dels Treballadors, aplicant la normativa laboral comuna llevat del que resulti incompatible amb les peculiaritats del caràcter especial d'aquesta relació.</w:t>
      </w:r>
    </w:p>
    <w:p w14:paraId="22B188EC" w14:textId="77777777" w:rsidR="007E5125" w:rsidRPr="000729C9" w:rsidRDefault="007E5125" w:rsidP="00693E75">
      <w:pPr>
        <w:spacing w:after="0" w:line="240" w:lineRule="auto"/>
        <w:jc w:val="both"/>
        <w:rPr>
          <w:rFonts w:ascii="Arial" w:hAnsi="Arial" w:cs="Arial"/>
          <w:noProof/>
          <w:color w:val="404040" w:themeColor="text1" w:themeTint="BF"/>
          <w:sz w:val="20"/>
          <w:szCs w:val="20"/>
          <w:lang w:val="ca-ES"/>
        </w:rPr>
      </w:pPr>
    </w:p>
    <w:p w14:paraId="1374BAF7" w14:textId="56438D3C" w:rsidR="008C5743" w:rsidRPr="000729C9" w:rsidRDefault="007E5125"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b/>
          <w:bCs/>
          <w:noProof/>
          <w:lang w:val="ca-ES"/>
        </w:rPr>
        <w:t>Suprimeix</w:t>
      </w:r>
      <w:r w:rsidRPr="000729C9">
        <w:rPr>
          <w:rFonts w:ascii="Arial" w:hAnsi="Arial" w:cs="Arial"/>
          <w:noProof/>
          <w:color w:val="404040" w:themeColor="text1" w:themeTint="BF"/>
          <w:sz w:val="20"/>
          <w:szCs w:val="20"/>
          <w:lang w:val="ca-ES"/>
        </w:rPr>
        <w:t xml:space="preserve"> la possibilitat que el contracte es pugui extingir per </w:t>
      </w:r>
      <w:r w:rsidRPr="006E1315">
        <w:rPr>
          <w:rFonts w:ascii="Arial" w:hAnsi="Arial" w:cs="Arial"/>
          <w:noProof/>
          <w:color w:val="000000" w:themeColor="text1"/>
          <w:u w:val="single"/>
          <w:lang w:val="ca-ES"/>
        </w:rPr>
        <w:t>desistiment de l'ocupador</w:t>
      </w:r>
      <w:r w:rsidRPr="000729C9">
        <w:rPr>
          <w:rFonts w:ascii="Arial" w:hAnsi="Arial" w:cs="Arial"/>
          <w:noProof/>
          <w:color w:val="404040" w:themeColor="text1" w:themeTint="BF"/>
          <w:sz w:val="20"/>
          <w:szCs w:val="20"/>
          <w:lang w:val="ca-ES"/>
        </w:rPr>
        <w:t>.</w:t>
      </w:r>
    </w:p>
    <w:p w14:paraId="6FC31011" w14:textId="77777777" w:rsidR="00C572FE" w:rsidRPr="000729C9" w:rsidRDefault="00C572FE" w:rsidP="00693E75">
      <w:pPr>
        <w:spacing w:after="0" w:line="240" w:lineRule="auto"/>
        <w:jc w:val="both"/>
        <w:rPr>
          <w:rFonts w:ascii="Arial" w:hAnsi="Arial" w:cs="Arial"/>
          <w:noProof/>
          <w:color w:val="404040" w:themeColor="text1" w:themeTint="BF"/>
          <w:sz w:val="20"/>
          <w:szCs w:val="20"/>
          <w:lang w:val="ca-ES"/>
        </w:rPr>
      </w:pPr>
    </w:p>
    <w:p w14:paraId="316296F8" w14:textId="3B3B5F48" w:rsidR="00272DF6" w:rsidRPr="000729C9" w:rsidRDefault="00272DF6"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Sense perjudici de l'anterior, </w:t>
      </w:r>
      <w:r w:rsidRPr="000729C9">
        <w:rPr>
          <w:rFonts w:ascii="Arial" w:hAnsi="Arial" w:cs="Arial"/>
          <w:noProof/>
          <w:sz w:val="20"/>
          <w:szCs w:val="20"/>
          <w:u w:val="single"/>
          <w:lang w:val="ca-ES"/>
        </w:rPr>
        <w:t>i com a novetat</w:t>
      </w:r>
      <w:r w:rsidRPr="000729C9">
        <w:rPr>
          <w:rFonts w:ascii="Arial" w:hAnsi="Arial" w:cs="Arial"/>
          <w:noProof/>
          <w:color w:val="404040" w:themeColor="text1" w:themeTint="BF"/>
          <w:sz w:val="20"/>
          <w:szCs w:val="20"/>
          <w:lang w:val="ca-ES"/>
        </w:rPr>
        <w:t xml:space="preserve">, aquesta relació laboral de caràcter especial </w:t>
      </w:r>
      <w:r w:rsidRPr="000729C9">
        <w:rPr>
          <w:rFonts w:ascii="Arial" w:hAnsi="Arial" w:cs="Arial"/>
          <w:b/>
          <w:bCs/>
          <w:noProof/>
          <w:sz w:val="20"/>
          <w:szCs w:val="20"/>
          <w:lang w:val="ca-ES"/>
        </w:rPr>
        <w:t>PODRÀ</w:t>
      </w:r>
      <w:r w:rsidRPr="000729C9">
        <w:rPr>
          <w:rFonts w:ascii="Arial" w:hAnsi="Arial" w:cs="Arial"/>
          <w:noProof/>
          <w:color w:val="404040" w:themeColor="text1" w:themeTint="BF"/>
          <w:sz w:val="20"/>
          <w:szCs w:val="20"/>
          <w:lang w:val="ca-ES"/>
        </w:rPr>
        <w:t xml:space="preserve"> </w:t>
      </w:r>
      <w:r w:rsidRPr="000729C9">
        <w:rPr>
          <w:rFonts w:ascii="Arial" w:hAnsi="Arial" w:cs="Arial"/>
          <w:b/>
          <w:bCs/>
          <w:noProof/>
          <w:sz w:val="20"/>
          <w:szCs w:val="20"/>
          <w:lang w:val="ca-ES"/>
        </w:rPr>
        <w:t>EXTINGIR-SE</w:t>
      </w:r>
      <w:r w:rsidRPr="000729C9">
        <w:rPr>
          <w:rFonts w:ascii="Arial" w:hAnsi="Arial" w:cs="Arial"/>
          <w:noProof/>
          <w:color w:val="404040" w:themeColor="text1" w:themeTint="BF"/>
          <w:sz w:val="20"/>
          <w:szCs w:val="20"/>
          <w:lang w:val="ca-ES"/>
        </w:rPr>
        <w:t xml:space="preserve"> </w:t>
      </w:r>
      <w:r w:rsidRPr="000729C9">
        <w:rPr>
          <w:rFonts w:ascii="Arial" w:hAnsi="Arial" w:cs="Arial"/>
          <w:noProof/>
          <w:lang w:val="ca-ES"/>
        </w:rPr>
        <w:t xml:space="preserve">per alguna de les següents </w:t>
      </w:r>
      <w:r w:rsidRPr="000729C9">
        <w:rPr>
          <w:rFonts w:ascii="Arial" w:hAnsi="Arial" w:cs="Arial"/>
          <w:b/>
          <w:bCs/>
          <w:noProof/>
          <w:sz w:val="20"/>
          <w:szCs w:val="20"/>
          <w:lang w:val="ca-ES"/>
        </w:rPr>
        <w:t>CAUSES</w:t>
      </w:r>
      <w:r w:rsidRPr="000729C9">
        <w:rPr>
          <w:rFonts w:ascii="Arial" w:hAnsi="Arial" w:cs="Arial"/>
          <w:noProof/>
          <w:color w:val="404040" w:themeColor="text1" w:themeTint="BF"/>
          <w:sz w:val="20"/>
          <w:szCs w:val="20"/>
          <w:lang w:val="ca-ES"/>
        </w:rPr>
        <w:t>, sempre que estiguin justificades:</w:t>
      </w:r>
    </w:p>
    <w:p w14:paraId="2E468468" w14:textId="77777777" w:rsidR="00272DF6" w:rsidRPr="000729C9" w:rsidRDefault="00272DF6" w:rsidP="00693E75">
      <w:pPr>
        <w:spacing w:after="0" w:line="240" w:lineRule="auto"/>
        <w:jc w:val="both"/>
        <w:rPr>
          <w:rFonts w:ascii="Arial" w:hAnsi="Arial" w:cs="Arial"/>
          <w:noProof/>
          <w:color w:val="404040" w:themeColor="text1" w:themeTint="BF"/>
          <w:sz w:val="20"/>
          <w:szCs w:val="20"/>
          <w:lang w:val="ca-ES"/>
        </w:rPr>
      </w:pPr>
    </w:p>
    <w:p w14:paraId="62525B3A" w14:textId="77777777" w:rsidR="00272DF6" w:rsidRPr="000729C9" w:rsidRDefault="00272DF6" w:rsidP="00693E75">
      <w:pPr>
        <w:spacing w:after="0" w:line="240" w:lineRule="auto"/>
        <w:jc w:val="both"/>
        <w:rPr>
          <w:rFonts w:ascii="Arial" w:hAnsi="Arial" w:cs="Arial"/>
          <w:noProof/>
          <w:color w:val="404040" w:themeColor="text1" w:themeTint="BF"/>
          <w:sz w:val="18"/>
          <w:szCs w:val="18"/>
          <w:lang w:val="ca-ES"/>
        </w:rPr>
      </w:pPr>
      <w:r w:rsidRPr="000729C9">
        <w:rPr>
          <w:rFonts w:ascii="Arial" w:hAnsi="Arial" w:cs="Arial"/>
          <w:noProof/>
          <w:color w:val="404040" w:themeColor="text1" w:themeTint="BF"/>
          <w:sz w:val="18"/>
          <w:szCs w:val="18"/>
          <w:lang w:val="ca-ES"/>
        </w:rPr>
        <w:t>a) Disminució dels ingressos de la unitat familiar o increment de les seves despeses per circumstància sobrevinguda.</w:t>
      </w:r>
    </w:p>
    <w:p w14:paraId="0C82AAEC" w14:textId="77777777" w:rsidR="00272DF6" w:rsidRPr="000729C9" w:rsidRDefault="00272DF6" w:rsidP="00693E75">
      <w:pPr>
        <w:spacing w:after="0" w:line="240" w:lineRule="auto"/>
        <w:jc w:val="both"/>
        <w:rPr>
          <w:rFonts w:ascii="Arial" w:hAnsi="Arial" w:cs="Arial"/>
          <w:noProof/>
          <w:color w:val="404040" w:themeColor="text1" w:themeTint="BF"/>
          <w:sz w:val="18"/>
          <w:szCs w:val="18"/>
          <w:lang w:val="ca-ES"/>
        </w:rPr>
      </w:pPr>
      <w:r w:rsidRPr="000729C9">
        <w:rPr>
          <w:rFonts w:ascii="Arial" w:hAnsi="Arial" w:cs="Arial"/>
          <w:noProof/>
          <w:color w:val="404040" w:themeColor="text1" w:themeTint="BF"/>
          <w:sz w:val="18"/>
          <w:szCs w:val="18"/>
          <w:lang w:val="ca-ES"/>
        </w:rPr>
        <w:t>b) Modificació substancial de les necessitats de la unitat familiar que justifiquen que es prescindeixi de la persona treballadora de la llar.</w:t>
      </w:r>
    </w:p>
    <w:p w14:paraId="0BE3D3F7" w14:textId="77777777" w:rsidR="00272DF6" w:rsidRPr="000729C9" w:rsidRDefault="00272DF6" w:rsidP="00693E75">
      <w:pPr>
        <w:spacing w:after="0" w:line="240" w:lineRule="auto"/>
        <w:jc w:val="both"/>
        <w:rPr>
          <w:rFonts w:ascii="Arial" w:hAnsi="Arial" w:cs="Arial"/>
          <w:noProof/>
          <w:color w:val="404040" w:themeColor="text1" w:themeTint="BF"/>
          <w:sz w:val="18"/>
          <w:szCs w:val="18"/>
          <w:lang w:val="ca-ES"/>
        </w:rPr>
      </w:pPr>
      <w:r w:rsidRPr="000729C9">
        <w:rPr>
          <w:rFonts w:ascii="Arial" w:hAnsi="Arial" w:cs="Arial"/>
          <w:noProof/>
          <w:color w:val="404040" w:themeColor="text1" w:themeTint="BF"/>
          <w:sz w:val="18"/>
          <w:szCs w:val="18"/>
          <w:lang w:val="ca-ES"/>
        </w:rPr>
        <w:t>c) El comportament de la persona treballadora que fonamenti de manera raonable i proporcionada la pèrdua de confiança de la persona ocupadora.</w:t>
      </w:r>
    </w:p>
    <w:p w14:paraId="3E474EFF" w14:textId="77777777" w:rsidR="00272DF6" w:rsidRPr="000729C9" w:rsidRDefault="00272DF6" w:rsidP="00693E75">
      <w:pPr>
        <w:spacing w:after="0" w:line="240" w:lineRule="auto"/>
        <w:jc w:val="both"/>
        <w:rPr>
          <w:rFonts w:ascii="Arial" w:hAnsi="Arial" w:cs="Arial"/>
          <w:noProof/>
          <w:color w:val="404040" w:themeColor="text1" w:themeTint="BF"/>
          <w:sz w:val="20"/>
          <w:szCs w:val="20"/>
          <w:lang w:val="ca-ES"/>
        </w:rPr>
      </w:pPr>
    </w:p>
    <w:p w14:paraId="50AE632E" w14:textId="77777777" w:rsidR="00272DF6" w:rsidRPr="000729C9" w:rsidRDefault="00272DF6"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En aquests nous supòsits o causes, </w:t>
      </w:r>
      <w:r w:rsidRPr="000729C9">
        <w:rPr>
          <w:rFonts w:ascii="Arial" w:hAnsi="Arial" w:cs="Arial"/>
          <w:noProof/>
          <w:color w:val="404040" w:themeColor="text1" w:themeTint="BF"/>
          <w:sz w:val="18"/>
          <w:szCs w:val="18"/>
          <w:lang w:val="ca-ES"/>
        </w:rPr>
        <w:t>la decisió d'extingir el contracte s'ha de</w:t>
      </w:r>
      <w:r w:rsidRPr="000729C9">
        <w:rPr>
          <w:rFonts w:ascii="Arial" w:hAnsi="Arial" w:cs="Arial"/>
          <w:noProof/>
          <w:color w:val="404040" w:themeColor="text1" w:themeTint="BF"/>
          <w:sz w:val="20"/>
          <w:szCs w:val="20"/>
          <w:lang w:val="ca-ES"/>
        </w:rPr>
        <w:t xml:space="preserve"> </w:t>
      </w:r>
      <w:r w:rsidRPr="000729C9">
        <w:rPr>
          <w:rFonts w:ascii="Arial" w:hAnsi="Arial" w:cs="Arial"/>
          <w:noProof/>
          <w:color w:val="000000" w:themeColor="text1"/>
          <w:sz w:val="20"/>
          <w:szCs w:val="20"/>
          <w:u w:val="single"/>
          <w:lang w:val="ca-ES"/>
        </w:rPr>
        <w:t>comunicar per escrit</w:t>
      </w:r>
      <w:r w:rsidRPr="000729C9">
        <w:rPr>
          <w:rFonts w:ascii="Arial" w:hAnsi="Arial" w:cs="Arial"/>
          <w:noProof/>
          <w:color w:val="404040" w:themeColor="text1" w:themeTint="BF"/>
          <w:sz w:val="20"/>
          <w:szCs w:val="20"/>
          <w:lang w:val="ca-ES"/>
        </w:rPr>
        <w:t xml:space="preserve">, amb un preavís mínim de 7 dies, o de 20 dies quan la prestació de serveis hagi superat la durada d'un any, i ha de constar de manera clara i inequívoca </w:t>
      </w:r>
      <w:r w:rsidRPr="000729C9">
        <w:rPr>
          <w:rFonts w:ascii="Arial" w:hAnsi="Arial" w:cs="Arial"/>
          <w:noProof/>
          <w:color w:val="000000" w:themeColor="text1"/>
          <w:sz w:val="20"/>
          <w:szCs w:val="20"/>
          <w:u w:val="single"/>
          <w:lang w:val="ca-ES"/>
        </w:rPr>
        <w:t>la volunta</w:t>
      </w:r>
      <w:r w:rsidRPr="000729C9">
        <w:rPr>
          <w:rFonts w:ascii="Arial" w:hAnsi="Arial" w:cs="Arial"/>
          <w:noProof/>
          <w:sz w:val="20"/>
          <w:szCs w:val="20"/>
          <w:u w:val="single"/>
          <w:lang w:val="ca-ES"/>
        </w:rPr>
        <w:t>t</w:t>
      </w:r>
      <w:r w:rsidRPr="000729C9">
        <w:rPr>
          <w:rFonts w:ascii="Arial" w:hAnsi="Arial" w:cs="Arial"/>
          <w:noProof/>
          <w:color w:val="404040" w:themeColor="text1" w:themeTint="BF"/>
          <w:sz w:val="20"/>
          <w:szCs w:val="20"/>
          <w:lang w:val="ca-ES"/>
        </w:rPr>
        <w:t xml:space="preserve"> de la persona ocupadora de donar per finalitzada la relació laboral i </w:t>
      </w:r>
      <w:r w:rsidRPr="000729C9">
        <w:rPr>
          <w:rFonts w:ascii="Arial" w:hAnsi="Arial" w:cs="Arial"/>
          <w:noProof/>
          <w:sz w:val="20"/>
          <w:szCs w:val="20"/>
          <w:u w:val="single"/>
          <w:lang w:val="ca-ES"/>
        </w:rPr>
        <w:t>la causa</w:t>
      </w:r>
      <w:r w:rsidRPr="000729C9">
        <w:rPr>
          <w:rFonts w:ascii="Arial" w:hAnsi="Arial" w:cs="Arial"/>
          <w:noProof/>
          <w:color w:val="404040" w:themeColor="text1" w:themeTint="BF"/>
          <w:sz w:val="20"/>
          <w:szCs w:val="20"/>
          <w:lang w:val="ca-ES"/>
        </w:rPr>
        <w:t xml:space="preserve"> per la qual s'adopta aquesta decisió.</w:t>
      </w:r>
    </w:p>
    <w:p w14:paraId="4D1FADAF" w14:textId="77777777" w:rsidR="00272DF6" w:rsidRPr="000729C9" w:rsidRDefault="00272DF6" w:rsidP="00693E75">
      <w:pPr>
        <w:spacing w:after="0" w:line="240" w:lineRule="auto"/>
        <w:jc w:val="both"/>
        <w:rPr>
          <w:rFonts w:ascii="Arial" w:hAnsi="Arial" w:cs="Arial"/>
          <w:noProof/>
          <w:color w:val="404040" w:themeColor="text1" w:themeTint="BF"/>
          <w:sz w:val="16"/>
          <w:szCs w:val="16"/>
          <w:lang w:val="ca-ES"/>
        </w:rPr>
      </w:pPr>
    </w:p>
    <w:p w14:paraId="6194829D" w14:textId="07B0E135" w:rsidR="006A0DEF" w:rsidRPr="000729C9" w:rsidRDefault="00272DF6"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Simultàniament a la comunicació de l'extinció, la persona ocupadora haurà de posar a disposició de la persona treballadora </w:t>
      </w:r>
      <w:r w:rsidRPr="000729C9">
        <w:rPr>
          <w:rFonts w:ascii="Arial" w:hAnsi="Arial" w:cs="Arial"/>
          <w:noProof/>
          <w:sz w:val="20"/>
          <w:szCs w:val="20"/>
          <w:u w:val="single"/>
          <w:lang w:val="ca-ES"/>
        </w:rPr>
        <w:t>una indemnització</w:t>
      </w:r>
      <w:r w:rsidRPr="000729C9">
        <w:rPr>
          <w:rFonts w:ascii="Arial" w:hAnsi="Arial" w:cs="Arial"/>
          <w:noProof/>
          <w:color w:val="404040" w:themeColor="text1" w:themeTint="BF"/>
          <w:sz w:val="20"/>
          <w:szCs w:val="20"/>
          <w:lang w:val="ca-ES"/>
        </w:rPr>
        <w:t xml:space="preserve">, en quantia equivalent al salari </w:t>
      </w:r>
      <w:r w:rsidR="007C44FF" w:rsidRPr="000729C9">
        <w:rPr>
          <w:rFonts w:ascii="Arial" w:hAnsi="Arial" w:cs="Arial"/>
          <w:noProof/>
          <w:color w:val="404040" w:themeColor="text1" w:themeTint="BF"/>
          <w:sz w:val="20"/>
          <w:szCs w:val="20"/>
          <w:lang w:val="ca-ES"/>
        </w:rPr>
        <w:t>corresponent a dotze dies per any de servei amb el límit de sis mensualitats</w:t>
      </w:r>
      <w:r w:rsidR="0065344E" w:rsidRPr="000729C9">
        <w:rPr>
          <w:rFonts w:ascii="Arial" w:hAnsi="Arial" w:cs="Arial"/>
          <w:noProof/>
          <w:color w:val="404040" w:themeColor="text1" w:themeTint="BF"/>
          <w:sz w:val="20"/>
          <w:szCs w:val="20"/>
          <w:lang w:val="ca-ES"/>
        </w:rPr>
        <w:t>.</w:t>
      </w:r>
    </w:p>
    <w:p w14:paraId="2D8A9D3C" w14:textId="77777777" w:rsidR="00EE6F09" w:rsidRPr="000729C9" w:rsidRDefault="00EE6F09" w:rsidP="00693E75">
      <w:pPr>
        <w:spacing w:after="0" w:line="240" w:lineRule="auto"/>
        <w:jc w:val="both"/>
        <w:rPr>
          <w:rFonts w:ascii="Arial" w:hAnsi="Arial" w:cs="Arial"/>
          <w:noProof/>
          <w:color w:val="404040" w:themeColor="text1" w:themeTint="BF"/>
          <w:sz w:val="16"/>
          <w:szCs w:val="16"/>
          <w:lang w:val="ca-ES"/>
        </w:rPr>
      </w:pPr>
    </w:p>
    <w:p w14:paraId="2084219D" w14:textId="77777777" w:rsidR="006A0DEF" w:rsidRPr="000729C9" w:rsidRDefault="006A0DEF"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El Fons de Garantia Salarial </w:t>
      </w:r>
      <w:r w:rsidRPr="000729C9">
        <w:rPr>
          <w:rFonts w:ascii="Arial" w:hAnsi="Arial" w:cs="Arial"/>
          <w:b/>
          <w:bCs/>
          <w:noProof/>
          <w:lang w:val="ca-ES"/>
        </w:rPr>
        <w:t>(FOGASA),</w:t>
      </w:r>
      <w:r w:rsidRPr="000729C9">
        <w:rPr>
          <w:rFonts w:ascii="Arial" w:hAnsi="Arial" w:cs="Arial"/>
          <w:noProof/>
          <w:lang w:val="ca-ES"/>
        </w:rPr>
        <w:t xml:space="preserve"> </w:t>
      </w:r>
      <w:r w:rsidRPr="000729C9">
        <w:rPr>
          <w:rFonts w:ascii="Arial" w:hAnsi="Arial" w:cs="Arial"/>
          <w:noProof/>
          <w:color w:val="404040" w:themeColor="text1" w:themeTint="BF"/>
          <w:sz w:val="20"/>
          <w:szCs w:val="20"/>
          <w:lang w:val="ca-ES"/>
        </w:rPr>
        <w:t xml:space="preserve">en els casos d'insolvència o concurs de l'ocupador, abonarà </w:t>
      </w:r>
      <w:r w:rsidRPr="000729C9">
        <w:rPr>
          <w:rFonts w:ascii="Arial" w:hAnsi="Arial" w:cs="Arial"/>
          <w:noProof/>
          <w:sz w:val="20"/>
          <w:szCs w:val="20"/>
          <w:u w:val="single"/>
          <w:lang w:val="ca-ES"/>
        </w:rPr>
        <w:t>les indemnitzacions</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 xml:space="preserve">reconegudes a favor dels treballadors per l'extinció de contractes d'acord amb </w:t>
      </w:r>
      <w:r w:rsidRPr="000729C9">
        <w:rPr>
          <w:rFonts w:ascii="Arial" w:hAnsi="Arial" w:cs="Arial"/>
          <w:b/>
          <w:bCs/>
          <w:noProof/>
          <w:sz w:val="20"/>
          <w:szCs w:val="20"/>
          <w:lang w:val="ca-ES"/>
        </w:rPr>
        <w:t>aquestes noves causes</w:t>
      </w:r>
      <w:r w:rsidRPr="000729C9">
        <w:rPr>
          <w:rFonts w:ascii="Arial" w:hAnsi="Arial" w:cs="Arial"/>
          <w:noProof/>
          <w:color w:val="404040" w:themeColor="text1" w:themeTint="BF"/>
          <w:sz w:val="20"/>
          <w:szCs w:val="20"/>
          <w:lang w:val="ca-ES"/>
        </w:rPr>
        <w:t xml:space="preserve">, </w:t>
      </w:r>
      <w:r w:rsidRPr="000729C9">
        <w:rPr>
          <w:rFonts w:ascii="Arial" w:hAnsi="Arial" w:cs="Arial"/>
          <w:noProof/>
          <w:color w:val="404040" w:themeColor="text1" w:themeTint="BF"/>
          <w:sz w:val="20"/>
          <w:szCs w:val="20"/>
          <w:u w:val="single"/>
          <w:lang w:val="ca-ES"/>
        </w:rPr>
        <w:t>amb el límit màxim de 6 mensualitats</w:t>
      </w:r>
      <w:r w:rsidRPr="000729C9">
        <w:rPr>
          <w:rFonts w:ascii="Arial" w:hAnsi="Arial" w:cs="Arial"/>
          <w:noProof/>
          <w:color w:val="404040" w:themeColor="text1" w:themeTint="BF"/>
          <w:sz w:val="20"/>
          <w:szCs w:val="20"/>
          <w:lang w:val="ca-ES"/>
        </w:rPr>
        <w:t>, sense que el salari diari, base del càlcul, pugui excedir el doble de l'SMI, incloent-hi la part proporcional de les pagues extraordinàries.</w:t>
      </w:r>
    </w:p>
    <w:p w14:paraId="0FC622CE" w14:textId="77777777" w:rsidR="006A0DEF" w:rsidRPr="000729C9" w:rsidRDefault="006A0DEF" w:rsidP="00693E75">
      <w:pPr>
        <w:spacing w:after="0" w:line="240" w:lineRule="auto"/>
        <w:jc w:val="both"/>
        <w:rPr>
          <w:rFonts w:ascii="Arial" w:hAnsi="Arial" w:cs="Arial"/>
          <w:noProof/>
          <w:color w:val="404040" w:themeColor="text1" w:themeTint="BF"/>
          <w:sz w:val="16"/>
          <w:szCs w:val="16"/>
          <w:lang w:val="ca-ES"/>
        </w:rPr>
      </w:pPr>
    </w:p>
    <w:p w14:paraId="3F31E169" w14:textId="0A569139" w:rsidR="006A0DEF" w:rsidRPr="000729C9" w:rsidRDefault="006A0DEF" w:rsidP="00693E75">
      <w:pPr>
        <w:spacing w:after="0" w:line="240" w:lineRule="auto"/>
        <w:jc w:val="both"/>
        <w:rPr>
          <w:rFonts w:ascii="Arial" w:hAnsi="Arial" w:cs="Arial"/>
          <w:noProof/>
          <w:color w:val="000000" w:themeColor="text1"/>
          <w:sz w:val="24"/>
          <w:szCs w:val="24"/>
          <w:u w:val="single"/>
          <w:lang w:val="ca-ES"/>
        </w:rPr>
      </w:pPr>
      <w:r w:rsidRPr="000729C9">
        <w:rPr>
          <w:rFonts w:ascii="Arial" w:hAnsi="Arial" w:cs="Arial"/>
          <w:noProof/>
          <w:color w:val="000000" w:themeColor="text1"/>
          <w:sz w:val="24"/>
          <w:szCs w:val="24"/>
          <w:u w:val="single"/>
          <w:lang w:val="ca-ES"/>
        </w:rPr>
        <w:t>Sistema Especial per a Empleats de Llar del Règim General Seguretat Social:</w:t>
      </w:r>
    </w:p>
    <w:p w14:paraId="77A14D8C" w14:textId="77777777" w:rsidR="006A0DEF" w:rsidRPr="00B4673B" w:rsidRDefault="006A0DEF" w:rsidP="00693E75">
      <w:pPr>
        <w:spacing w:after="0" w:line="240" w:lineRule="auto"/>
        <w:jc w:val="both"/>
        <w:rPr>
          <w:rFonts w:ascii="Arial" w:hAnsi="Arial" w:cs="Arial"/>
          <w:noProof/>
          <w:color w:val="404040" w:themeColor="text1" w:themeTint="BF"/>
          <w:sz w:val="16"/>
          <w:szCs w:val="16"/>
          <w:lang w:val="ca-ES"/>
        </w:rPr>
      </w:pPr>
    </w:p>
    <w:p w14:paraId="78D73398" w14:textId="556F302F" w:rsidR="006A0DEF" w:rsidRPr="000729C9" w:rsidRDefault="006A0DEF" w:rsidP="00693E75">
      <w:pPr>
        <w:spacing w:after="0" w:line="240" w:lineRule="auto"/>
        <w:jc w:val="both"/>
        <w:rPr>
          <w:rFonts w:ascii="Arial" w:hAnsi="Arial" w:cs="Arial"/>
          <w:b/>
          <w:bCs/>
          <w:noProof/>
          <w:sz w:val="20"/>
          <w:szCs w:val="20"/>
          <w:lang w:val="ca-ES"/>
        </w:rPr>
      </w:pPr>
      <w:r w:rsidRPr="000729C9">
        <w:rPr>
          <w:rFonts w:ascii="Arial" w:hAnsi="Arial" w:cs="Arial"/>
          <w:noProof/>
          <w:color w:val="404040" w:themeColor="text1" w:themeTint="BF"/>
          <w:sz w:val="20"/>
          <w:szCs w:val="20"/>
          <w:lang w:val="ca-ES"/>
        </w:rPr>
        <w:t xml:space="preserve">L'acció protectora del Sistema Especial per a Empleats de la Llar comprendrà la corresponent a </w:t>
      </w:r>
      <w:r w:rsidRPr="000729C9">
        <w:rPr>
          <w:rFonts w:ascii="Arial" w:hAnsi="Arial" w:cs="Arial"/>
          <w:b/>
          <w:bCs/>
          <w:noProof/>
          <w:sz w:val="20"/>
          <w:szCs w:val="20"/>
          <w:lang w:val="ca-ES"/>
        </w:rPr>
        <w:t>l'ATUR.</w:t>
      </w:r>
    </w:p>
    <w:p w14:paraId="259861CE" w14:textId="77777777" w:rsidR="0065344E" w:rsidRPr="000729C9" w:rsidRDefault="0065344E" w:rsidP="00693E75">
      <w:pPr>
        <w:spacing w:after="0" w:line="240" w:lineRule="auto"/>
        <w:jc w:val="both"/>
        <w:rPr>
          <w:rFonts w:ascii="Arial" w:hAnsi="Arial" w:cs="Arial"/>
          <w:noProof/>
          <w:color w:val="404040" w:themeColor="text1" w:themeTint="BF"/>
          <w:sz w:val="16"/>
          <w:szCs w:val="16"/>
          <w:lang w:val="ca-ES"/>
        </w:rPr>
      </w:pPr>
    </w:p>
    <w:p w14:paraId="1DC06EF9" w14:textId="012F10FF" w:rsidR="006A0DEF" w:rsidRPr="000729C9" w:rsidRDefault="006A0DEF"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Es trobaran en </w:t>
      </w:r>
      <w:r w:rsidRPr="000729C9">
        <w:rPr>
          <w:rFonts w:ascii="Arial" w:hAnsi="Arial" w:cs="Arial"/>
          <w:b/>
          <w:bCs/>
          <w:noProof/>
          <w:sz w:val="20"/>
          <w:szCs w:val="20"/>
          <w:lang w:val="ca-ES"/>
        </w:rPr>
        <w:t>situació legal de desocupació</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els empleats de la llar per extinció del contracte de treball per les noves causes d</w:t>
      </w:r>
      <w:r w:rsidR="0063464C" w:rsidRPr="000729C9">
        <w:rPr>
          <w:rFonts w:ascii="Arial" w:hAnsi="Arial" w:cs="Arial"/>
          <w:noProof/>
          <w:color w:val="404040" w:themeColor="text1" w:themeTint="BF"/>
          <w:sz w:val="20"/>
          <w:szCs w:val="20"/>
          <w:lang w:val="ca-ES"/>
        </w:rPr>
        <w:t>’</w:t>
      </w:r>
      <w:r w:rsidRPr="000729C9">
        <w:rPr>
          <w:rFonts w:ascii="Arial" w:hAnsi="Arial" w:cs="Arial"/>
          <w:noProof/>
          <w:color w:val="404040" w:themeColor="text1" w:themeTint="BF"/>
          <w:sz w:val="20"/>
          <w:szCs w:val="20"/>
          <w:lang w:val="ca-ES"/>
        </w:rPr>
        <w:t>extinció abans esmentades.</w:t>
      </w:r>
    </w:p>
    <w:p w14:paraId="05761346" w14:textId="17A653D9" w:rsidR="00272DF6" w:rsidRPr="000729C9" w:rsidRDefault="00272DF6" w:rsidP="00693E75">
      <w:pPr>
        <w:spacing w:after="0" w:line="240" w:lineRule="auto"/>
        <w:jc w:val="both"/>
        <w:rPr>
          <w:rFonts w:ascii="Arial" w:hAnsi="Arial" w:cs="Arial"/>
          <w:noProof/>
          <w:color w:val="404040" w:themeColor="text1" w:themeTint="BF"/>
          <w:sz w:val="16"/>
          <w:szCs w:val="16"/>
          <w:lang w:val="ca-ES"/>
        </w:rPr>
      </w:pPr>
    </w:p>
    <w:p w14:paraId="7BEC81C3" w14:textId="77777777" w:rsidR="00796E77" w:rsidRPr="000729C9" w:rsidRDefault="00796E77" w:rsidP="00693E75">
      <w:pPr>
        <w:spacing w:after="0" w:line="240" w:lineRule="auto"/>
        <w:jc w:val="both"/>
        <w:rPr>
          <w:rFonts w:ascii="Arial" w:hAnsi="Arial" w:cs="Arial"/>
          <w:b/>
          <w:bCs/>
          <w:noProof/>
          <w:lang w:val="ca-ES"/>
        </w:rPr>
      </w:pPr>
      <w:r w:rsidRPr="000729C9">
        <w:rPr>
          <w:rFonts w:ascii="Arial" w:hAnsi="Arial" w:cs="Arial"/>
          <w:b/>
          <w:bCs/>
          <w:noProof/>
          <w:sz w:val="20"/>
          <w:szCs w:val="20"/>
          <w:lang w:val="ca-ES"/>
        </w:rPr>
        <w:t>La COTITZACIÓ</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 xml:space="preserve">per la contingència </w:t>
      </w:r>
      <w:r w:rsidRPr="000729C9">
        <w:rPr>
          <w:rFonts w:ascii="Arial" w:hAnsi="Arial" w:cs="Arial"/>
          <w:b/>
          <w:bCs/>
          <w:noProof/>
          <w:color w:val="000000" w:themeColor="text1"/>
          <w:sz w:val="20"/>
          <w:szCs w:val="20"/>
          <w:lang w:val="ca-ES"/>
        </w:rPr>
        <w:t>d'ATUR i el FOGASA</w:t>
      </w:r>
      <w:r w:rsidRPr="000729C9">
        <w:rPr>
          <w:rFonts w:ascii="Arial" w:hAnsi="Arial" w:cs="Arial"/>
          <w:noProof/>
          <w:color w:val="000000" w:themeColor="text1"/>
          <w:sz w:val="20"/>
          <w:szCs w:val="20"/>
          <w:lang w:val="ca-ES"/>
        </w:rPr>
        <w:t xml:space="preserve"> </w:t>
      </w:r>
      <w:r w:rsidRPr="000729C9">
        <w:rPr>
          <w:rFonts w:ascii="Arial" w:hAnsi="Arial" w:cs="Arial"/>
          <w:noProof/>
          <w:color w:val="404040" w:themeColor="text1" w:themeTint="BF"/>
          <w:sz w:val="20"/>
          <w:szCs w:val="20"/>
          <w:lang w:val="ca-ES"/>
        </w:rPr>
        <w:t xml:space="preserve">respecte als treballadors inclosos al Sistema Especial per a Empleats de la Llar del RGSS serà </w:t>
      </w:r>
      <w:r w:rsidRPr="000729C9">
        <w:rPr>
          <w:rFonts w:ascii="Arial" w:hAnsi="Arial" w:cs="Arial"/>
          <w:b/>
          <w:bCs/>
          <w:noProof/>
          <w:sz w:val="20"/>
          <w:szCs w:val="20"/>
          <w:lang w:val="ca-ES"/>
        </w:rPr>
        <w:t xml:space="preserve">OBLIGATÒRIA </w:t>
      </w:r>
      <w:r w:rsidRPr="000729C9">
        <w:rPr>
          <w:rFonts w:ascii="Arial" w:hAnsi="Arial" w:cs="Arial"/>
          <w:b/>
          <w:bCs/>
          <w:noProof/>
          <w:lang w:val="ca-ES"/>
        </w:rPr>
        <w:t>a partir de l'1 d'octubre de 2022.</w:t>
      </w:r>
    </w:p>
    <w:p w14:paraId="3B3AFD2B" w14:textId="77777777" w:rsidR="00796E77" w:rsidRPr="00B4673B" w:rsidRDefault="00796E77" w:rsidP="00693E75">
      <w:pPr>
        <w:spacing w:after="0" w:line="240" w:lineRule="auto"/>
        <w:jc w:val="both"/>
        <w:rPr>
          <w:rFonts w:ascii="Arial" w:hAnsi="Arial" w:cs="Arial"/>
          <w:noProof/>
          <w:color w:val="404040" w:themeColor="text1" w:themeTint="BF"/>
          <w:sz w:val="16"/>
          <w:szCs w:val="16"/>
          <w:lang w:val="ca-ES"/>
        </w:rPr>
      </w:pPr>
    </w:p>
    <w:p w14:paraId="7FBB839E" w14:textId="4B9E0663" w:rsidR="00796E77" w:rsidRPr="000729C9" w:rsidRDefault="00796E77" w:rsidP="00693E75">
      <w:pPr>
        <w:spacing w:after="0" w:line="240" w:lineRule="auto"/>
        <w:jc w:val="both"/>
        <w:rPr>
          <w:rFonts w:ascii="Arial" w:hAnsi="Arial" w:cs="Arial"/>
          <w:noProof/>
          <w:color w:val="404040" w:themeColor="text1" w:themeTint="BF"/>
          <w:sz w:val="18"/>
          <w:szCs w:val="18"/>
          <w:lang w:val="ca-ES"/>
        </w:rPr>
      </w:pPr>
      <w:r w:rsidRPr="000729C9">
        <w:rPr>
          <w:rFonts w:ascii="Arial" w:hAnsi="Arial" w:cs="Arial"/>
          <w:b/>
          <w:bCs/>
          <w:noProof/>
          <w:color w:val="000000" w:themeColor="text1"/>
          <w:sz w:val="20"/>
          <w:szCs w:val="20"/>
          <w:u w:val="single"/>
          <w:lang w:val="ca-ES"/>
        </w:rPr>
        <w:t xml:space="preserve">Els tipus de cotització </w:t>
      </w:r>
      <w:r w:rsidR="00111EE9" w:rsidRPr="000729C9">
        <w:rPr>
          <w:rFonts w:ascii="Arial" w:hAnsi="Arial" w:cs="Arial"/>
          <w:b/>
          <w:bCs/>
          <w:noProof/>
          <w:color w:val="000000" w:themeColor="text1"/>
          <w:sz w:val="18"/>
          <w:szCs w:val="18"/>
          <w:u w:val="single"/>
          <w:lang w:val="ca-ES"/>
        </w:rPr>
        <w:t>per desocupació</w:t>
      </w:r>
      <w:r w:rsidR="00111EE9" w:rsidRPr="000729C9">
        <w:rPr>
          <w:rFonts w:ascii="Arial" w:hAnsi="Arial" w:cs="Arial"/>
          <w:noProof/>
          <w:color w:val="000000" w:themeColor="text1"/>
          <w:sz w:val="18"/>
          <w:szCs w:val="18"/>
          <w:lang w:val="ca-ES"/>
        </w:rPr>
        <w:t xml:space="preserve"> </w:t>
      </w:r>
      <w:r w:rsidRPr="000729C9">
        <w:rPr>
          <w:rFonts w:ascii="Arial" w:hAnsi="Arial" w:cs="Arial"/>
          <w:noProof/>
          <w:sz w:val="20"/>
          <w:szCs w:val="20"/>
          <w:lang w:val="ca-ES"/>
        </w:rPr>
        <w:t xml:space="preserve">aplicable entre </w:t>
      </w:r>
      <w:r w:rsidRPr="000729C9">
        <w:rPr>
          <w:rFonts w:ascii="Arial" w:hAnsi="Arial" w:cs="Arial"/>
          <w:b/>
          <w:bCs/>
          <w:noProof/>
          <w:sz w:val="20"/>
          <w:szCs w:val="20"/>
          <w:lang w:val="ca-ES"/>
        </w:rPr>
        <w:t>l'1 d'octubre del 2022 i el 31 de desembre del 2022</w:t>
      </w:r>
      <w:r w:rsidRPr="000729C9">
        <w:rPr>
          <w:rFonts w:ascii="Arial" w:hAnsi="Arial" w:cs="Arial"/>
          <w:noProof/>
          <w:sz w:val="20"/>
          <w:szCs w:val="20"/>
          <w:lang w:val="ca-ES"/>
        </w:rPr>
        <w:t xml:space="preserve"> ser</w:t>
      </w:r>
      <w:r w:rsidR="00AD5DF8" w:rsidRPr="000729C9">
        <w:rPr>
          <w:rFonts w:ascii="Arial" w:hAnsi="Arial" w:cs="Arial"/>
          <w:noProof/>
          <w:sz w:val="20"/>
          <w:szCs w:val="20"/>
          <w:lang w:val="ca-ES"/>
        </w:rPr>
        <w:t>à</w:t>
      </w:r>
      <w:r w:rsidR="00111EE9" w:rsidRPr="000729C9">
        <w:rPr>
          <w:rFonts w:ascii="Arial" w:hAnsi="Arial" w:cs="Arial"/>
          <w:noProof/>
          <w:sz w:val="20"/>
          <w:szCs w:val="20"/>
          <w:lang w:val="ca-ES"/>
        </w:rPr>
        <w:t xml:space="preserve"> </w:t>
      </w:r>
      <w:r w:rsidRPr="000729C9">
        <w:rPr>
          <w:rFonts w:ascii="Arial" w:hAnsi="Arial" w:cs="Arial"/>
          <w:noProof/>
          <w:color w:val="404040" w:themeColor="text1" w:themeTint="BF"/>
          <w:sz w:val="18"/>
          <w:szCs w:val="18"/>
          <w:lang w:val="ca-ES"/>
        </w:rPr>
        <w:t>del 6,05%</w:t>
      </w:r>
      <w:r w:rsidR="00111EE9" w:rsidRPr="000729C9">
        <w:rPr>
          <w:rFonts w:ascii="Arial" w:hAnsi="Arial" w:cs="Arial"/>
          <w:noProof/>
          <w:color w:val="404040" w:themeColor="text1" w:themeTint="BF"/>
          <w:sz w:val="18"/>
          <w:szCs w:val="18"/>
          <w:lang w:val="ca-ES"/>
        </w:rPr>
        <w:t>,</w:t>
      </w:r>
      <w:r w:rsidRPr="000729C9">
        <w:rPr>
          <w:rFonts w:ascii="Arial" w:hAnsi="Arial" w:cs="Arial"/>
          <w:noProof/>
          <w:color w:val="404040" w:themeColor="text1" w:themeTint="BF"/>
          <w:sz w:val="18"/>
          <w:szCs w:val="18"/>
          <w:lang w:val="ca-ES"/>
        </w:rPr>
        <w:t xml:space="preserve"> del que el 5% serà a càrrec de l'ocupador i l'1,05% a càrrec de l'empleat</w:t>
      </w:r>
      <w:r w:rsidR="006A4659" w:rsidRPr="000729C9">
        <w:rPr>
          <w:rFonts w:ascii="Arial" w:hAnsi="Arial" w:cs="Arial"/>
          <w:noProof/>
          <w:color w:val="404040" w:themeColor="text1" w:themeTint="BF"/>
          <w:sz w:val="18"/>
          <w:szCs w:val="18"/>
          <w:lang w:val="ca-ES"/>
        </w:rPr>
        <w:t xml:space="preserve">, i </w:t>
      </w:r>
      <w:r w:rsidR="00111EE9" w:rsidRPr="000729C9">
        <w:rPr>
          <w:rFonts w:ascii="Arial" w:hAnsi="Arial" w:cs="Arial"/>
          <w:noProof/>
          <w:color w:val="000000" w:themeColor="text1"/>
          <w:sz w:val="18"/>
          <w:szCs w:val="18"/>
          <w:u w:val="single"/>
          <w:lang w:val="ca-ES"/>
        </w:rPr>
        <w:t xml:space="preserve">el tipus de cotització al </w:t>
      </w:r>
      <w:r w:rsidR="00111EE9" w:rsidRPr="000729C9">
        <w:rPr>
          <w:rFonts w:ascii="Arial" w:hAnsi="Arial" w:cs="Arial"/>
          <w:b/>
          <w:bCs/>
          <w:noProof/>
          <w:color w:val="000000" w:themeColor="text1"/>
          <w:sz w:val="18"/>
          <w:szCs w:val="18"/>
          <w:u w:val="single"/>
          <w:lang w:val="ca-ES"/>
        </w:rPr>
        <w:t>FOGASA</w:t>
      </w:r>
      <w:r w:rsidR="00111EE9" w:rsidRPr="000729C9">
        <w:rPr>
          <w:rFonts w:ascii="Arial" w:hAnsi="Arial" w:cs="Arial"/>
          <w:noProof/>
          <w:color w:val="000000" w:themeColor="text1"/>
          <w:sz w:val="18"/>
          <w:szCs w:val="18"/>
          <w:lang w:val="ca-ES"/>
        </w:rPr>
        <w:t xml:space="preserve"> </w:t>
      </w:r>
      <w:r w:rsidRPr="000729C9">
        <w:rPr>
          <w:rFonts w:ascii="Arial" w:hAnsi="Arial" w:cs="Arial"/>
          <w:noProof/>
          <w:color w:val="404040" w:themeColor="text1" w:themeTint="BF"/>
          <w:sz w:val="18"/>
          <w:szCs w:val="18"/>
          <w:lang w:val="ca-ES"/>
        </w:rPr>
        <w:t>serà de 0,2 a càrrec exclusiu de l'ocupador.</w:t>
      </w:r>
    </w:p>
    <w:p w14:paraId="682809DE" w14:textId="77777777" w:rsidR="00A1122C" w:rsidRPr="000729C9" w:rsidRDefault="00A1122C" w:rsidP="00693E75">
      <w:pPr>
        <w:spacing w:after="0" w:line="240" w:lineRule="auto"/>
        <w:jc w:val="both"/>
        <w:rPr>
          <w:rFonts w:ascii="Arial" w:hAnsi="Arial" w:cs="Arial"/>
          <w:noProof/>
          <w:color w:val="404040" w:themeColor="text1" w:themeTint="BF"/>
          <w:sz w:val="16"/>
          <w:szCs w:val="16"/>
          <w:lang w:val="ca-ES"/>
        </w:rPr>
      </w:pPr>
    </w:p>
    <w:p w14:paraId="5CD9BEF0" w14:textId="2AFA2E75" w:rsidR="00796E77" w:rsidRPr="000729C9" w:rsidRDefault="00796E77"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 xml:space="preserve">L'aportació empresarial a la cotització per desocupació i al FOGASA a aquest sistema especial tindrà dret a una </w:t>
      </w:r>
      <w:r w:rsidRPr="000729C9">
        <w:rPr>
          <w:rFonts w:ascii="Arial" w:hAnsi="Arial" w:cs="Arial"/>
          <w:b/>
          <w:bCs/>
          <w:noProof/>
          <w:sz w:val="20"/>
          <w:szCs w:val="20"/>
          <w:lang w:val="ca-ES"/>
        </w:rPr>
        <w:t>bonificació del 80%</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que serà finançada pel SEPE i el FOG</w:t>
      </w:r>
      <w:r w:rsidR="00D878C4">
        <w:rPr>
          <w:rFonts w:ascii="Arial" w:hAnsi="Arial" w:cs="Arial"/>
          <w:noProof/>
          <w:color w:val="404040" w:themeColor="text1" w:themeTint="BF"/>
          <w:sz w:val="20"/>
          <w:szCs w:val="20"/>
          <w:lang w:val="ca-ES"/>
        </w:rPr>
        <w:t>A</w:t>
      </w:r>
      <w:r w:rsidRPr="000729C9">
        <w:rPr>
          <w:rFonts w:ascii="Arial" w:hAnsi="Arial" w:cs="Arial"/>
          <w:noProof/>
          <w:color w:val="404040" w:themeColor="text1" w:themeTint="BF"/>
          <w:sz w:val="20"/>
          <w:szCs w:val="20"/>
          <w:lang w:val="ca-ES"/>
        </w:rPr>
        <w:t>SA.</w:t>
      </w:r>
    </w:p>
    <w:p w14:paraId="25AA121B" w14:textId="5125D1FD" w:rsidR="00796E77" w:rsidRPr="000729C9" w:rsidRDefault="00796E77" w:rsidP="00693E75">
      <w:pPr>
        <w:spacing w:after="0" w:line="240" w:lineRule="auto"/>
        <w:jc w:val="both"/>
        <w:rPr>
          <w:rFonts w:ascii="Arial" w:hAnsi="Arial" w:cs="Arial"/>
          <w:noProof/>
          <w:color w:val="404040" w:themeColor="text1" w:themeTint="BF"/>
          <w:sz w:val="20"/>
          <w:szCs w:val="20"/>
          <w:lang w:val="ca-ES"/>
        </w:rPr>
      </w:pPr>
    </w:p>
    <w:p w14:paraId="62EB70B0" w14:textId="23CAC0BC" w:rsidR="00796E77" w:rsidRPr="000729C9" w:rsidRDefault="002C43E6"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L</w:t>
      </w:r>
      <w:r w:rsidR="007F02AC" w:rsidRPr="000729C9">
        <w:rPr>
          <w:rFonts w:ascii="Arial" w:hAnsi="Arial" w:cs="Arial"/>
          <w:noProof/>
          <w:color w:val="404040" w:themeColor="text1" w:themeTint="BF"/>
          <w:sz w:val="20"/>
          <w:szCs w:val="20"/>
          <w:lang w:val="ca-ES"/>
        </w:rPr>
        <w:t>’escala de le</w:t>
      </w:r>
      <w:r w:rsidRPr="000729C9">
        <w:rPr>
          <w:rFonts w:ascii="Arial" w:hAnsi="Arial" w:cs="Arial"/>
          <w:noProof/>
          <w:color w:val="404040" w:themeColor="text1" w:themeTint="BF"/>
          <w:sz w:val="20"/>
          <w:szCs w:val="20"/>
          <w:lang w:val="ca-ES"/>
        </w:rPr>
        <w:t xml:space="preserve">s </w:t>
      </w:r>
      <w:r w:rsidR="00796E77" w:rsidRPr="000729C9">
        <w:rPr>
          <w:rFonts w:ascii="Arial" w:hAnsi="Arial" w:cs="Arial"/>
          <w:b/>
          <w:bCs/>
          <w:noProof/>
          <w:sz w:val="20"/>
          <w:szCs w:val="20"/>
          <w:lang w:val="ca-ES"/>
        </w:rPr>
        <w:t>RETRIBUCIONS MENSUALS i les BASES DE COTITZACIÓ</w:t>
      </w:r>
      <w:r w:rsidR="00796E77" w:rsidRPr="000729C9">
        <w:rPr>
          <w:rFonts w:ascii="Arial" w:hAnsi="Arial" w:cs="Arial"/>
          <w:noProof/>
          <w:sz w:val="20"/>
          <w:szCs w:val="20"/>
          <w:lang w:val="ca-ES"/>
        </w:rPr>
        <w:t xml:space="preserve"> </w:t>
      </w:r>
      <w:r w:rsidR="00796E77" w:rsidRPr="000729C9">
        <w:rPr>
          <w:rFonts w:ascii="Arial" w:hAnsi="Arial" w:cs="Arial"/>
          <w:noProof/>
          <w:color w:val="404040" w:themeColor="text1" w:themeTint="BF"/>
          <w:sz w:val="20"/>
          <w:szCs w:val="20"/>
          <w:lang w:val="ca-ES"/>
        </w:rPr>
        <w:t xml:space="preserve">en el Sistema Especial per a Empleats de la Llar establert al Règim General de la Seguretat Social de </w:t>
      </w:r>
      <w:r w:rsidR="00796E77" w:rsidRPr="000729C9">
        <w:rPr>
          <w:rFonts w:ascii="Arial" w:hAnsi="Arial" w:cs="Arial"/>
          <w:b/>
          <w:bCs/>
          <w:noProof/>
          <w:lang w:val="ca-ES"/>
        </w:rPr>
        <w:t>l'ANY 2023</w:t>
      </w:r>
      <w:r w:rsidR="007F02AC" w:rsidRPr="000729C9">
        <w:rPr>
          <w:rFonts w:ascii="Arial" w:hAnsi="Arial" w:cs="Arial"/>
          <w:noProof/>
          <w:color w:val="404040" w:themeColor="text1" w:themeTint="BF"/>
          <w:sz w:val="20"/>
          <w:szCs w:val="20"/>
          <w:lang w:val="ca-ES"/>
        </w:rPr>
        <w:t xml:space="preserve"> serà</w:t>
      </w:r>
      <w:r w:rsidR="00CC1F80" w:rsidRPr="000729C9">
        <w:rPr>
          <w:rFonts w:ascii="Arial" w:hAnsi="Arial" w:cs="Arial"/>
          <w:noProof/>
          <w:color w:val="404040" w:themeColor="text1" w:themeTint="BF"/>
          <w:sz w:val="20"/>
          <w:szCs w:val="20"/>
          <w:lang w:val="ca-ES"/>
        </w:rPr>
        <w:t>:</w:t>
      </w:r>
      <w:r w:rsidR="007F02AC" w:rsidRPr="000729C9">
        <w:rPr>
          <w:rFonts w:ascii="Arial" w:hAnsi="Arial" w:cs="Arial"/>
          <w:noProof/>
          <w:color w:val="404040" w:themeColor="text1" w:themeTint="BF"/>
          <w:sz w:val="20"/>
          <w:szCs w:val="20"/>
          <w:lang w:val="ca-ES"/>
        </w:rPr>
        <w:t xml:space="preserve"> </w:t>
      </w:r>
    </w:p>
    <w:p w14:paraId="02813DDC" w14:textId="332EE1F6" w:rsidR="006826DD" w:rsidRPr="000729C9" w:rsidRDefault="006826DD" w:rsidP="00693E75">
      <w:pPr>
        <w:spacing w:after="0" w:line="240" w:lineRule="auto"/>
        <w:jc w:val="both"/>
        <w:rPr>
          <w:rFonts w:ascii="Arial" w:hAnsi="Arial" w:cs="Arial"/>
          <w:noProof/>
          <w:color w:val="404040" w:themeColor="text1" w:themeTint="BF"/>
          <w:sz w:val="20"/>
          <w:szCs w:val="20"/>
          <w:lang w:val="ca-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1078"/>
        <w:gridCol w:w="1350"/>
        <w:gridCol w:w="1002"/>
        <w:gridCol w:w="1501"/>
        <w:gridCol w:w="2767"/>
      </w:tblGrid>
      <w:tr w:rsidR="0090518B" w:rsidRPr="000729C9" w14:paraId="61F2B19D" w14:textId="77777777" w:rsidTr="00532D65">
        <w:trPr>
          <w:tblHeader/>
        </w:trPr>
        <w:tc>
          <w:tcPr>
            <w:tcW w:w="615" w:type="pct"/>
            <w:shd w:val="clear" w:color="auto" w:fill="auto"/>
            <w:tcMar>
              <w:top w:w="48" w:type="dxa"/>
              <w:left w:w="96" w:type="dxa"/>
              <w:bottom w:w="48" w:type="dxa"/>
              <w:right w:w="96" w:type="dxa"/>
            </w:tcMar>
            <w:vAlign w:val="center"/>
            <w:hideMark/>
          </w:tcPr>
          <w:p w14:paraId="3CE3DF14" w14:textId="77777777" w:rsidR="006826DD" w:rsidRPr="000729C9" w:rsidRDefault="006826DD" w:rsidP="00693E7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Tram</w:t>
            </w:r>
          </w:p>
        </w:tc>
        <w:tc>
          <w:tcPr>
            <w:tcW w:w="2808" w:type="pct"/>
            <w:gridSpan w:val="4"/>
            <w:shd w:val="clear" w:color="auto" w:fill="auto"/>
            <w:tcMar>
              <w:top w:w="48" w:type="dxa"/>
              <w:left w:w="96" w:type="dxa"/>
              <w:bottom w:w="48" w:type="dxa"/>
              <w:right w:w="96" w:type="dxa"/>
            </w:tcMar>
            <w:vAlign w:val="center"/>
            <w:hideMark/>
          </w:tcPr>
          <w:p w14:paraId="0CF1E70C"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Retribució mensual</w:t>
            </w:r>
          </w:p>
          <w:p w14:paraId="3739769A"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Euros/mes</w:t>
            </w:r>
          </w:p>
        </w:tc>
        <w:tc>
          <w:tcPr>
            <w:tcW w:w="1577" w:type="pct"/>
            <w:shd w:val="clear" w:color="auto" w:fill="auto"/>
            <w:tcMar>
              <w:top w:w="48" w:type="dxa"/>
              <w:left w:w="96" w:type="dxa"/>
              <w:bottom w:w="48" w:type="dxa"/>
              <w:right w:w="96" w:type="dxa"/>
            </w:tcMar>
            <w:vAlign w:val="center"/>
            <w:hideMark/>
          </w:tcPr>
          <w:p w14:paraId="3287B11C" w14:textId="5233B56F"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Base de </w:t>
            </w:r>
            <w:r w:rsidR="00532D65" w:rsidRPr="000729C9">
              <w:rPr>
                <w:rFonts w:ascii="Arial" w:hAnsi="Arial" w:cs="Arial"/>
                <w:noProof/>
                <w:color w:val="404040" w:themeColor="text1" w:themeTint="BF"/>
                <w:sz w:val="16"/>
                <w:szCs w:val="16"/>
                <w:lang w:val="ca-ES"/>
              </w:rPr>
              <w:t>cotització</w:t>
            </w:r>
          </w:p>
          <w:p w14:paraId="1AA25DBC"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Euros/mes</w:t>
            </w:r>
          </w:p>
        </w:tc>
      </w:tr>
      <w:tr w:rsidR="0090518B" w:rsidRPr="000729C9" w14:paraId="3597D102" w14:textId="77777777" w:rsidTr="00532D65">
        <w:tc>
          <w:tcPr>
            <w:tcW w:w="615" w:type="pct"/>
            <w:shd w:val="clear" w:color="auto" w:fill="auto"/>
            <w:tcMar>
              <w:top w:w="48" w:type="dxa"/>
              <w:left w:w="96" w:type="dxa"/>
              <w:bottom w:w="48" w:type="dxa"/>
              <w:right w:w="96" w:type="dxa"/>
            </w:tcMar>
            <w:vAlign w:val="center"/>
            <w:hideMark/>
          </w:tcPr>
          <w:p w14:paraId="3694B658" w14:textId="77777777" w:rsidR="006826DD" w:rsidRPr="000729C9" w:rsidRDefault="006826DD" w:rsidP="00693E7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w:t>
            </w:r>
          </w:p>
        </w:tc>
        <w:tc>
          <w:tcPr>
            <w:tcW w:w="614" w:type="pct"/>
            <w:shd w:val="clear" w:color="auto" w:fill="auto"/>
            <w:tcMar>
              <w:top w:w="48" w:type="dxa"/>
              <w:left w:w="96" w:type="dxa"/>
              <w:bottom w:w="48" w:type="dxa"/>
              <w:right w:w="96" w:type="dxa"/>
            </w:tcMar>
            <w:vAlign w:val="center"/>
            <w:hideMark/>
          </w:tcPr>
          <w:p w14:paraId="02240D70" w14:textId="6FFEBA75" w:rsidR="006826DD" w:rsidRPr="000729C9" w:rsidRDefault="00F47C45" w:rsidP="002F172F">
            <w:pPr>
              <w:spacing w:after="0" w:line="240" w:lineRule="auto"/>
              <w:jc w:val="center"/>
              <w:rPr>
                <w:rFonts w:ascii="Arial" w:hAnsi="Arial" w:cs="Arial"/>
                <w:noProof/>
                <w:color w:val="404040" w:themeColor="text1" w:themeTint="BF"/>
                <w:sz w:val="16"/>
                <w:szCs w:val="16"/>
                <w:lang w:val="ca-ES"/>
              </w:rPr>
            </w:pPr>
            <w:r>
              <w:rPr>
                <w:rFonts w:ascii="Arial" w:hAnsi="Arial" w:cs="Arial"/>
                <w:noProof/>
                <w:color w:val="404040" w:themeColor="text1" w:themeTint="BF"/>
                <w:sz w:val="16"/>
                <w:szCs w:val="16"/>
                <w:lang w:val="ca-ES"/>
              </w:rPr>
              <w:t>Fins</w:t>
            </w:r>
            <w:r w:rsidR="00532D65" w:rsidRPr="000729C9">
              <w:rPr>
                <w:rFonts w:ascii="Arial" w:hAnsi="Arial" w:cs="Arial"/>
                <w:noProof/>
                <w:color w:val="404040" w:themeColor="text1" w:themeTint="BF"/>
                <w:sz w:val="16"/>
                <w:szCs w:val="16"/>
                <w:lang w:val="ca-ES"/>
              </w:rPr>
              <w:t xml:space="preserve">  </w:t>
            </w:r>
          </w:p>
        </w:tc>
        <w:tc>
          <w:tcPr>
            <w:tcW w:w="769" w:type="pct"/>
            <w:shd w:val="clear" w:color="auto" w:fill="auto"/>
            <w:tcMar>
              <w:top w:w="48" w:type="dxa"/>
              <w:left w:w="96" w:type="dxa"/>
              <w:bottom w:w="48" w:type="dxa"/>
              <w:right w:w="96" w:type="dxa"/>
            </w:tcMar>
            <w:vAlign w:val="center"/>
            <w:hideMark/>
          </w:tcPr>
          <w:p w14:paraId="3C242F65"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269,00</w:t>
            </w:r>
          </w:p>
        </w:tc>
        <w:tc>
          <w:tcPr>
            <w:tcW w:w="571" w:type="pct"/>
            <w:shd w:val="clear" w:color="auto" w:fill="auto"/>
            <w:tcMar>
              <w:top w:w="48" w:type="dxa"/>
              <w:left w:w="96" w:type="dxa"/>
              <w:bottom w:w="48" w:type="dxa"/>
              <w:right w:w="96" w:type="dxa"/>
            </w:tcMar>
            <w:vAlign w:val="center"/>
            <w:hideMark/>
          </w:tcPr>
          <w:p w14:paraId="533B07E4"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p>
        </w:tc>
        <w:tc>
          <w:tcPr>
            <w:tcW w:w="855" w:type="pct"/>
            <w:shd w:val="clear" w:color="auto" w:fill="auto"/>
            <w:tcMar>
              <w:top w:w="48" w:type="dxa"/>
              <w:left w:w="96" w:type="dxa"/>
              <w:bottom w:w="48" w:type="dxa"/>
              <w:right w:w="96" w:type="dxa"/>
            </w:tcMar>
            <w:vAlign w:val="center"/>
            <w:hideMark/>
          </w:tcPr>
          <w:p w14:paraId="1AAA8A46"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p>
        </w:tc>
        <w:tc>
          <w:tcPr>
            <w:tcW w:w="1577" w:type="pct"/>
            <w:shd w:val="clear" w:color="auto" w:fill="auto"/>
            <w:tcMar>
              <w:top w:w="48" w:type="dxa"/>
              <w:left w:w="96" w:type="dxa"/>
              <w:bottom w:w="48" w:type="dxa"/>
              <w:right w:w="96" w:type="dxa"/>
            </w:tcMar>
            <w:vAlign w:val="center"/>
            <w:hideMark/>
          </w:tcPr>
          <w:p w14:paraId="1B876E1B"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250,00</w:t>
            </w:r>
          </w:p>
        </w:tc>
      </w:tr>
      <w:tr w:rsidR="00532D65" w:rsidRPr="000729C9" w14:paraId="6C8699A4" w14:textId="77777777" w:rsidTr="00532D65">
        <w:tc>
          <w:tcPr>
            <w:tcW w:w="615" w:type="pct"/>
            <w:shd w:val="clear" w:color="auto" w:fill="auto"/>
            <w:tcMar>
              <w:top w:w="48" w:type="dxa"/>
              <w:left w:w="96" w:type="dxa"/>
              <w:bottom w:w="48" w:type="dxa"/>
              <w:right w:w="96" w:type="dxa"/>
            </w:tcMar>
            <w:vAlign w:val="center"/>
            <w:hideMark/>
          </w:tcPr>
          <w:p w14:paraId="1C3A1358"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2.°</w:t>
            </w:r>
          </w:p>
        </w:tc>
        <w:tc>
          <w:tcPr>
            <w:tcW w:w="614" w:type="pct"/>
            <w:shd w:val="clear" w:color="auto" w:fill="auto"/>
            <w:tcMar>
              <w:top w:w="48" w:type="dxa"/>
              <w:left w:w="96" w:type="dxa"/>
              <w:bottom w:w="48" w:type="dxa"/>
              <w:right w:w="96" w:type="dxa"/>
            </w:tcMar>
            <w:vAlign w:val="center"/>
            <w:hideMark/>
          </w:tcPr>
          <w:p w14:paraId="7B04D3BB" w14:textId="12552228"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033BB90E"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269,01</w:t>
            </w:r>
          </w:p>
        </w:tc>
        <w:tc>
          <w:tcPr>
            <w:tcW w:w="571" w:type="pct"/>
            <w:shd w:val="clear" w:color="auto" w:fill="auto"/>
            <w:tcMar>
              <w:top w:w="48" w:type="dxa"/>
              <w:left w:w="96" w:type="dxa"/>
              <w:bottom w:w="48" w:type="dxa"/>
              <w:right w:w="96" w:type="dxa"/>
            </w:tcMar>
            <w:hideMark/>
          </w:tcPr>
          <w:p w14:paraId="2536F4FA" w14:textId="6EC539BB"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4860D8B7"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418,00</w:t>
            </w:r>
          </w:p>
        </w:tc>
        <w:tc>
          <w:tcPr>
            <w:tcW w:w="1577" w:type="pct"/>
            <w:shd w:val="clear" w:color="auto" w:fill="auto"/>
            <w:tcMar>
              <w:top w:w="48" w:type="dxa"/>
              <w:left w:w="96" w:type="dxa"/>
              <w:bottom w:w="48" w:type="dxa"/>
              <w:right w:w="96" w:type="dxa"/>
            </w:tcMar>
            <w:vAlign w:val="center"/>
            <w:hideMark/>
          </w:tcPr>
          <w:p w14:paraId="4666B04F"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357,00</w:t>
            </w:r>
          </w:p>
        </w:tc>
      </w:tr>
      <w:tr w:rsidR="00532D65" w:rsidRPr="000729C9" w14:paraId="37347DDD" w14:textId="77777777" w:rsidTr="00532D65">
        <w:tc>
          <w:tcPr>
            <w:tcW w:w="615" w:type="pct"/>
            <w:shd w:val="clear" w:color="auto" w:fill="auto"/>
            <w:tcMar>
              <w:top w:w="48" w:type="dxa"/>
              <w:left w:w="96" w:type="dxa"/>
              <w:bottom w:w="48" w:type="dxa"/>
              <w:right w:w="96" w:type="dxa"/>
            </w:tcMar>
            <w:vAlign w:val="center"/>
            <w:hideMark/>
          </w:tcPr>
          <w:p w14:paraId="02C12BB5"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3.°</w:t>
            </w:r>
          </w:p>
        </w:tc>
        <w:tc>
          <w:tcPr>
            <w:tcW w:w="614" w:type="pct"/>
            <w:shd w:val="clear" w:color="auto" w:fill="auto"/>
            <w:tcMar>
              <w:top w:w="48" w:type="dxa"/>
              <w:left w:w="96" w:type="dxa"/>
              <w:bottom w:w="48" w:type="dxa"/>
              <w:right w:w="96" w:type="dxa"/>
            </w:tcMar>
            <w:vAlign w:val="center"/>
            <w:hideMark/>
          </w:tcPr>
          <w:p w14:paraId="47B66D6F" w14:textId="670C0350"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3C911B63"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418,01</w:t>
            </w:r>
          </w:p>
        </w:tc>
        <w:tc>
          <w:tcPr>
            <w:tcW w:w="571" w:type="pct"/>
            <w:shd w:val="clear" w:color="auto" w:fill="auto"/>
            <w:tcMar>
              <w:top w:w="48" w:type="dxa"/>
              <w:left w:w="96" w:type="dxa"/>
              <w:bottom w:w="48" w:type="dxa"/>
              <w:right w:w="96" w:type="dxa"/>
            </w:tcMar>
            <w:hideMark/>
          </w:tcPr>
          <w:p w14:paraId="25D46A33" w14:textId="2A30C672"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60FAFA12"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568,00</w:t>
            </w:r>
          </w:p>
        </w:tc>
        <w:tc>
          <w:tcPr>
            <w:tcW w:w="1577" w:type="pct"/>
            <w:shd w:val="clear" w:color="auto" w:fill="auto"/>
            <w:tcMar>
              <w:top w:w="48" w:type="dxa"/>
              <w:left w:w="96" w:type="dxa"/>
              <w:bottom w:w="48" w:type="dxa"/>
              <w:right w:w="96" w:type="dxa"/>
            </w:tcMar>
            <w:vAlign w:val="center"/>
            <w:hideMark/>
          </w:tcPr>
          <w:p w14:paraId="175872B0"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493,00</w:t>
            </w:r>
          </w:p>
        </w:tc>
      </w:tr>
      <w:tr w:rsidR="00532D65" w:rsidRPr="000729C9" w14:paraId="0BF11203" w14:textId="77777777" w:rsidTr="00532D65">
        <w:tc>
          <w:tcPr>
            <w:tcW w:w="615" w:type="pct"/>
            <w:shd w:val="clear" w:color="auto" w:fill="auto"/>
            <w:tcMar>
              <w:top w:w="48" w:type="dxa"/>
              <w:left w:w="96" w:type="dxa"/>
              <w:bottom w:w="48" w:type="dxa"/>
              <w:right w:w="96" w:type="dxa"/>
            </w:tcMar>
            <w:vAlign w:val="center"/>
            <w:hideMark/>
          </w:tcPr>
          <w:p w14:paraId="73CD5C67"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4.°</w:t>
            </w:r>
          </w:p>
        </w:tc>
        <w:tc>
          <w:tcPr>
            <w:tcW w:w="614" w:type="pct"/>
            <w:shd w:val="clear" w:color="auto" w:fill="auto"/>
            <w:tcMar>
              <w:top w:w="48" w:type="dxa"/>
              <w:left w:w="96" w:type="dxa"/>
              <w:bottom w:w="48" w:type="dxa"/>
              <w:right w:w="96" w:type="dxa"/>
            </w:tcMar>
            <w:vAlign w:val="center"/>
            <w:hideMark/>
          </w:tcPr>
          <w:p w14:paraId="285EC272" w14:textId="52E80966"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56565FF6"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568,01</w:t>
            </w:r>
          </w:p>
        </w:tc>
        <w:tc>
          <w:tcPr>
            <w:tcW w:w="571" w:type="pct"/>
            <w:shd w:val="clear" w:color="auto" w:fill="auto"/>
            <w:tcMar>
              <w:top w:w="48" w:type="dxa"/>
              <w:left w:w="96" w:type="dxa"/>
              <w:bottom w:w="48" w:type="dxa"/>
              <w:right w:w="96" w:type="dxa"/>
            </w:tcMar>
            <w:hideMark/>
          </w:tcPr>
          <w:p w14:paraId="4AAC4452" w14:textId="42BEBA3A"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4DC5E377"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718,00</w:t>
            </w:r>
          </w:p>
        </w:tc>
        <w:tc>
          <w:tcPr>
            <w:tcW w:w="1577" w:type="pct"/>
            <w:shd w:val="clear" w:color="auto" w:fill="auto"/>
            <w:tcMar>
              <w:top w:w="48" w:type="dxa"/>
              <w:left w:w="96" w:type="dxa"/>
              <w:bottom w:w="48" w:type="dxa"/>
              <w:right w:w="96" w:type="dxa"/>
            </w:tcMar>
            <w:vAlign w:val="center"/>
            <w:hideMark/>
          </w:tcPr>
          <w:p w14:paraId="3BB438BA"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643,00</w:t>
            </w:r>
          </w:p>
        </w:tc>
      </w:tr>
      <w:tr w:rsidR="00532D65" w:rsidRPr="000729C9" w14:paraId="17136968" w14:textId="77777777" w:rsidTr="00532D65">
        <w:tc>
          <w:tcPr>
            <w:tcW w:w="615" w:type="pct"/>
            <w:shd w:val="clear" w:color="auto" w:fill="auto"/>
            <w:tcMar>
              <w:top w:w="48" w:type="dxa"/>
              <w:left w:w="96" w:type="dxa"/>
              <w:bottom w:w="48" w:type="dxa"/>
              <w:right w:w="96" w:type="dxa"/>
            </w:tcMar>
            <w:vAlign w:val="center"/>
            <w:hideMark/>
          </w:tcPr>
          <w:p w14:paraId="3A4CB9C8"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5.°</w:t>
            </w:r>
          </w:p>
        </w:tc>
        <w:tc>
          <w:tcPr>
            <w:tcW w:w="614" w:type="pct"/>
            <w:shd w:val="clear" w:color="auto" w:fill="auto"/>
            <w:tcMar>
              <w:top w:w="48" w:type="dxa"/>
              <w:left w:w="96" w:type="dxa"/>
              <w:bottom w:w="48" w:type="dxa"/>
              <w:right w:w="96" w:type="dxa"/>
            </w:tcMar>
            <w:vAlign w:val="center"/>
            <w:hideMark/>
          </w:tcPr>
          <w:p w14:paraId="2C800C71" w14:textId="2ABD7921"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476A1C46"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718,01</w:t>
            </w:r>
          </w:p>
        </w:tc>
        <w:tc>
          <w:tcPr>
            <w:tcW w:w="571" w:type="pct"/>
            <w:shd w:val="clear" w:color="auto" w:fill="auto"/>
            <w:tcMar>
              <w:top w:w="48" w:type="dxa"/>
              <w:left w:w="96" w:type="dxa"/>
              <w:bottom w:w="48" w:type="dxa"/>
              <w:right w:w="96" w:type="dxa"/>
            </w:tcMar>
            <w:hideMark/>
          </w:tcPr>
          <w:p w14:paraId="4CCB7F5F" w14:textId="1F43A2D5"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35E24677"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869,00</w:t>
            </w:r>
          </w:p>
        </w:tc>
        <w:tc>
          <w:tcPr>
            <w:tcW w:w="1577" w:type="pct"/>
            <w:shd w:val="clear" w:color="auto" w:fill="auto"/>
            <w:tcMar>
              <w:top w:w="48" w:type="dxa"/>
              <w:left w:w="96" w:type="dxa"/>
              <w:bottom w:w="48" w:type="dxa"/>
              <w:right w:w="96" w:type="dxa"/>
            </w:tcMar>
            <w:vAlign w:val="center"/>
            <w:hideMark/>
          </w:tcPr>
          <w:p w14:paraId="44B60CBC"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794,00</w:t>
            </w:r>
          </w:p>
        </w:tc>
      </w:tr>
      <w:tr w:rsidR="00532D65" w:rsidRPr="000729C9" w14:paraId="5A8CDD18" w14:textId="77777777" w:rsidTr="00532D65">
        <w:tc>
          <w:tcPr>
            <w:tcW w:w="615" w:type="pct"/>
            <w:shd w:val="clear" w:color="auto" w:fill="auto"/>
            <w:tcMar>
              <w:top w:w="48" w:type="dxa"/>
              <w:left w:w="96" w:type="dxa"/>
              <w:bottom w:w="48" w:type="dxa"/>
              <w:right w:w="96" w:type="dxa"/>
            </w:tcMar>
            <w:vAlign w:val="center"/>
            <w:hideMark/>
          </w:tcPr>
          <w:p w14:paraId="5EBF7DD7"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6.°</w:t>
            </w:r>
          </w:p>
        </w:tc>
        <w:tc>
          <w:tcPr>
            <w:tcW w:w="614" w:type="pct"/>
            <w:shd w:val="clear" w:color="auto" w:fill="auto"/>
            <w:tcMar>
              <w:top w:w="48" w:type="dxa"/>
              <w:left w:w="96" w:type="dxa"/>
              <w:bottom w:w="48" w:type="dxa"/>
              <w:right w:w="96" w:type="dxa"/>
            </w:tcMar>
            <w:vAlign w:val="center"/>
            <w:hideMark/>
          </w:tcPr>
          <w:p w14:paraId="734B90BF" w14:textId="41DCB01E"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34FCE1F4"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869,01</w:t>
            </w:r>
          </w:p>
        </w:tc>
        <w:tc>
          <w:tcPr>
            <w:tcW w:w="571" w:type="pct"/>
            <w:shd w:val="clear" w:color="auto" w:fill="auto"/>
            <w:tcMar>
              <w:top w:w="48" w:type="dxa"/>
              <w:left w:w="96" w:type="dxa"/>
              <w:bottom w:w="48" w:type="dxa"/>
              <w:right w:w="96" w:type="dxa"/>
            </w:tcMar>
            <w:hideMark/>
          </w:tcPr>
          <w:p w14:paraId="64751D23" w14:textId="72999A95"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7BEBBD33"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1.017,00</w:t>
            </w:r>
          </w:p>
        </w:tc>
        <w:tc>
          <w:tcPr>
            <w:tcW w:w="1577" w:type="pct"/>
            <w:shd w:val="clear" w:color="auto" w:fill="auto"/>
            <w:tcMar>
              <w:top w:w="48" w:type="dxa"/>
              <w:left w:w="96" w:type="dxa"/>
              <w:bottom w:w="48" w:type="dxa"/>
              <w:right w:w="96" w:type="dxa"/>
            </w:tcMar>
            <w:vAlign w:val="center"/>
            <w:hideMark/>
          </w:tcPr>
          <w:p w14:paraId="1DC6468A"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943,00</w:t>
            </w:r>
          </w:p>
        </w:tc>
      </w:tr>
      <w:tr w:rsidR="00532D65" w:rsidRPr="000729C9" w14:paraId="4C93EF5C" w14:textId="77777777" w:rsidTr="00532D65">
        <w:tc>
          <w:tcPr>
            <w:tcW w:w="615" w:type="pct"/>
            <w:shd w:val="clear" w:color="auto" w:fill="auto"/>
            <w:tcMar>
              <w:top w:w="48" w:type="dxa"/>
              <w:left w:w="96" w:type="dxa"/>
              <w:bottom w:w="48" w:type="dxa"/>
              <w:right w:w="96" w:type="dxa"/>
            </w:tcMar>
            <w:vAlign w:val="center"/>
            <w:hideMark/>
          </w:tcPr>
          <w:p w14:paraId="690ACE10" w14:textId="77777777" w:rsidR="00532D65" w:rsidRPr="000729C9" w:rsidRDefault="00532D65" w:rsidP="00532D6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7.°</w:t>
            </w:r>
          </w:p>
        </w:tc>
        <w:tc>
          <w:tcPr>
            <w:tcW w:w="614" w:type="pct"/>
            <w:shd w:val="clear" w:color="auto" w:fill="auto"/>
            <w:tcMar>
              <w:top w:w="48" w:type="dxa"/>
              <w:left w:w="96" w:type="dxa"/>
              <w:bottom w:w="48" w:type="dxa"/>
              <w:right w:w="96" w:type="dxa"/>
            </w:tcMar>
            <w:vAlign w:val="center"/>
            <w:hideMark/>
          </w:tcPr>
          <w:p w14:paraId="5E902EAD" w14:textId="4A5D538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 de</w:t>
            </w:r>
          </w:p>
        </w:tc>
        <w:tc>
          <w:tcPr>
            <w:tcW w:w="769" w:type="pct"/>
            <w:shd w:val="clear" w:color="auto" w:fill="auto"/>
            <w:tcMar>
              <w:top w:w="48" w:type="dxa"/>
              <w:left w:w="96" w:type="dxa"/>
              <w:bottom w:w="48" w:type="dxa"/>
              <w:right w:w="96" w:type="dxa"/>
            </w:tcMar>
            <w:vAlign w:val="center"/>
            <w:hideMark/>
          </w:tcPr>
          <w:p w14:paraId="5C5B8E25"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1.017,01</w:t>
            </w:r>
          </w:p>
        </w:tc>
        <w:tc>
          <w:tcPr>
            <w:tcW w:w="571" w:type="pct"/>
            <w:shd w:val="clear" w:color="auto" w:fill="auto"/>
            <w:tcMar>
              <w:top w:w="48" w:type="dxa"/>
              <w:left w:w="96" w:type="dxa"/>
              <w:bottom w:w="48" w:type="dxa"/>
              <w:right w:w="96" w:type="dxa"/>
            </w:tcMar>
            <w:hideMark/>
          </w:tcPr>
          <w:p w14:paraId="3F68FF7A" w14:textId="798B4C6D"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 xml:space="preserve">Fins </w:t>
            </w:r>
          </w:p>
        </w:tc>
        <w:tc>
          <w:tcPr>
            <w:tcW w:w="855" w:type="pct"/>
            <w:shd w:val="clear" w:color="auto" w:fill="auto"/>
            <w:tcMar>
              <w:top w:w="48" w:type="dxa"/>
              <w:left w:w="96" w:type="dxa"/>
              <w:bottom w:w="48" w:type="dxa"/>
              <w:right w:w="96" w:type="dxa"/>
            </w:tcMar>
            <w:vAlign w:val="center"/>
            <w:hideMark/>
          </w:tcPr>
          <w:p w14:paraId="3A1DC396"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1.166,669</w:t>
            </w:r>
          </w:p>
        </w:tc>
        <w:tc>
          <w:tcPr>
            <w:tcW w:w="1577" w:type="pct"/>
            <w:shd w:val="clear" w:color="auto" w:fill="auto"/>
            <w:tcMar>
              <w:top w:w="48" w:type="dxa"/>
              <w:left w:w="96" w:type="dxa"/>
              <w:bottom w:w="48" w:type="dxa"/>
              <w:right w:w="96" w:type="dxa"/>
            </w:tcMar>
            <w:vAlign w:val="center"/>
            <w:hideMark/>
          </w:tcPr>
          <w:p w14:paraId="22E52A49" w14:textId="77777777" w:rsidR="00532D65" w:rsidRPr="000729C9" w:rsidRDefault="00532D65" w:rsidP="00532D65">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1.166,70</w:t>
            </w:r>
          </w:p>
        </w:tc>
      </w:tr>
      <w:tr w:rsidR="0090518B" w:rsidRPr="000729C9" w14:paraId="46A547FF" w14:textId="77777777" w:rsidTr="00532D65">
        <w:tc>
          <w:tcPr>
            <w:tcW w:w="615" w:type="pct"/>
            <w:shd w:val="clear" w:color="auto" w:fill="auto"/>
            <w:tcMar>
              <w:top w:w="48" w:type="dxa"/>
              <w:left w:w="96" w:type="dxa"/>
              <w:bottom w:w="48" w:type="dxa"/>
              <w:right w:w="96" w:type="dxa"/>
            </w:tcMar>
            <w:vAlign w:val="center"/>
            <w:hideMark/>
          </w:tcPr>
          <w:p w14:paraId="62528924" w14:textId="77777777" w:rsidR="006826DD" w:rsidRPr="000729C9" w:rsidRDefault="006826DD" w:rsidP="00693E75">
            <w:pPr>
              <w:spacing w:after="0" w:line="240" w:lineRule="auto"/>
              <w:jc w:val="both"/>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8.°</w:t>
            </w:r>
          </w:p>
        </w:tc>
        <w:tc>
          <w:tcPr>
            <w:tcW w:w="614" w:type="pct"/>
            <w:shd w:val="clear" w:color="auto" w:fill="auto"/>
            <w:tcMar>
              <w:top w:w="48" w:type="dxa"/>
              <w:left w:w="96" w:type="dxa"/>
              <w:bottom w:w="48" w:type="dxa"/>
              <w:right w:w="96" w:type="dxa"/>
            </w:tcMar>
            <w:vAlign w:val="center"/>
            <w:hideMark/>
          </w:tcPr>
          <w:p w14:paraId="1364196D" w14:textId="795A39B5"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Des</w:t>
            </w:r>
            <w:r w:rsidR="00532D65" w:rsidRPr="000729C9">
              <w:rPr>
                <w:rFonts w:ascii="Arial" w:hAnsi="Arial" w:cs="Arial"/>
                <w:noProof/>
                <w:color w:val="404040" w:themeColor="text1" w:themeTint="BF"/>
                <w:sz w:val="16"/>
                <w:szCs w:val="16"/>
                <w:lang w:val="ca-ES"/>
              </w:rPr>
              <w:t xml:space="preserve"> </w:t>
            </w:r>
            <w:r w:rsidRPr="000729C9">
              <w:rPr>
                <w:rFonts w:ascii="Arial" w:hAnsi="Arial" w:cs="Arial"/>
                <w:noProof/>
                <w:color w:val="404040" w:themeColor="text1" w:themeTint="BF"/>
                <w:sz w:val="16"/>
                <w:szCs w:val="16"/>
                <w:lang w:val="ca-ES"/>
              </w:rPr>
              <w:t>de</w:t>
            </w:r>
          </w:p>
        </w:tc>
        <w:tc>
          <w:tcPr>
            <w:tcW w:w="769" w:type="pct"/>
            <w:shd w:val="clear" w:color="auto" w:fill="auto"/>
            <w:tcMar>
              <w:top w:w="48" w:type="dxa"/>
              <w:left w:w="96" w:type="dxa"/>
              <w:bottom w:w="48" w:type="dxa"/>
              <w:right w:w="96" w:type="dxa"/>
            </w:tcMar>
            <w:vAlign w:val="center"/>
            <w:hideMark/>
          </w:tcPr>
          <w:p w14:paraId="02301AEE"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1.166,67</w:t>
            </w:r>
          </w:p>
        </w:tc>
        <w:tc>
          <w:tcPr>
            <w:tcW w:w="571" w:type="pct"/>
            <w:shd w:val="clear" w:color="auto" w:fill="auto"/>
            <w:tcMar>
              <w:top w:w="48" w:type="dxa"/>
              <w:left w:w="96" w:type="dxa"/>
              <w:bottom w:w="48" w:type="dxa"/>
              <w:right w:w="96" w:type="dxa"/>
            </w:tcMar>
            <w:vAlign w:val="center"/>
            <w:hideMark/>
          </w:tcPr>
          <w:p w14:paraId="0A85D602"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p>
        </w:tc>
        <w:tc>
          <w:tcPr>
            <w:tcW w:w="855" w:type="pct"/>
            <w:shd w:val="clear" w:color="auto" w:fill="auto"/>
            <w:tcMar>
              <w:top w:w="48" w:type="dxa"/>
              <w:left w:w="96" w:type="dxa"/>
              <w:bottom w:w="48" w:type="dxa"/>
              <w:right w:w="96" w:type="dxa"/>
            </w:tcMar>
            <w:vAlign w:val="center"/>
            <w:hideMark/>
          </w:tcPr>
          <w:p w14:paraId="4B6FD163" w14:textId="77777777"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p>
        </w:tc>
        <w:tc>
          <w:tcPr>
            <w:tcW w:w="1577" w:type="pct"/>
            <w:shd w:val="clear" w:color="auto" w:fill="auto"/>
            <w:tcMar>
              <w:top w:w="48" w:type="dxa"/>
              <w:left w:w="96" w:type="dxa"/>
              <w:bottom w:w="48" w:type="dxa"/>
              <w:right w:w="96" w:type="dxa"/>
            </w:tcMar>
            <w:vAlign w:val="center"/>
            <w:hideMark/>
          </w:tcPr>
          <w:p w14:paraId="1BC09874" w14:textId="79AC9294" w:rsidR="006826DD" w:rsidRPr="000729C9" w:rsidRDefault="006826DD" w:rsidP="002F172F">
            <w:pPr>
              <w:spacing w:after="0" w:line="240" w:lineRule="auto"/>
              <w:jc w:val="center"/>
              <w:rPr>
                <w:rFonts w:ascii="Arial" w:hAnsi="Arial" w:cs="Arial"/>
                <w:noProof/>
                <w:color w:val="404040" w:themeColor="text1" w:themeTint="BF"/>
                <w:sz w:val="16"/>
                <w:szCs w:val="16"/>
                <w:lang w:val="ca-ES"/>
              </w:rPr>
            </w:pPr>
            <w:r w:rsidRPr="000729C9">
              <w:rPr>
                <w:rFonts w:ascii="Arial" w:hAnsi="Arial" w:cs="Arial"/>
                <w:noProof/>
                <w:color w:val="404040" w:themeColor="text1" w:themeTint="BF"/>
                <w:sz w:val="16"/>
                <w:szCs w:val="16"/>
                <w:lang w:val="ca-ES"/>
              </w:rPr>
              <w:t>Retribució mensual</w:t>
            </w:r>
          </w:p>
        </w:tc>
      </w:tr>
    </w:tbl>
    <w:p w14:paraId="4AE2072E" w14:textId="77777777" w:rsidR="006826DD" w:rsidRPr="000729C9" w:rsidRDefault="006826DD" w:rsidP="00693E75">
      <w:pPr>
        <w:spacing w:after="0" w:line="240" w:lineRule="auto"/>
        <w:jc w:val="both"/>
        <w:rPr>
          <w:rFonts w:ascii="Arial" w:hAnsi="Arial" w:cs="Arial"/>
          <w:noProof/>
          <w:color w:val="404040" w:themeColor="text1" w:themeTint="BF"/>
          <w:sz w:val="20"/>
          <w:szCs w:val="20"/>
          <w:lang w:val="ca-ES"/>
        </w:rPr>
      </w:pPr>
    </w:p>
    <w:p w14:paraId="308920E4" w14:textId="0BD0232C" w:rsidR="006826DD" w:rsidRPr="000729C9" w:rsidRDefault="006826DD"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Els intervals de retribucions, així com les bases de cotització, s'actualitzaran en la mateixa proporció que ho faci l'SMI per a l'any 2023.</w:t>
      </w:r>
    </w:p>
    <w:p w14:paraId="17BF9349" w14:textId="77777777" w:rsidR="006826DD" w:rsidRPr="000729C9" w:rsidRDefault="006826DD" w:rsidP="00693E75">
      <w:pPr>
        <w:spacing w:after="0" w:line="240" w:lineRule="auto"/>
        <w:jc w:val="both"/>
        <w:rPr>
          <w:rFonts w:ascii="Arial" w:hAnsi="Arial" w:cs="Arial"/>
          <w:noProof/>
          <w:color w:val="404040" w:themeColor="text1" w:themeTint="BF"/>
          <w:sz w:val="16"/>
          <w:szCs w:val="16"/>
          <w:lang w:val="ca-ES"/>
        </w:rPr>
      </w:pPr>
    </w:p>
    <w:p w14:paraId="2B8223CC" w14:textId="77777777" w:rsidR="006826DD" w:rsidRPr="000729C9" w:rsidRDefault="006826DD"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lang w:val="ca-ES"/>
        </w:rPr>
        <w:t xml:space="preserve">Amb efectes des de </w:t>
      </w:r>
      <w:r w:rsidRPr="000729C9">
        <w:rPr>
          <w:rFonts w:ascii="Arial" w:hAnsi="Arial" w:cs="Arial"/>
          <w:b/>
          <w:bCs/>
          <w:noProof/>
          <w:lang w:val="ca-ES"/>
        </w:rPr>
        <w:t>l'1 de gener de 2023</w:t>
      </w:r>
      <w:r w:rsidRPr="000729C9">
        <w:rPr>
          <w:rFonts w:ascii="Arial" w:hAnsi="Arial" w:cs="Arial"/>
          <w:noProof/>
          <w:color w:val="404040" w:themeColor="text1" w:themeTint="BF"/>
          <w:sz w:val="20"/>
          <w:szCs w:val="20"/>
          <w:lang w:val="ca-ES"/>
        </w:rPr>
        <w:t xml:space="preserve">, les </w:t>
      </w:r>
      <w:r w:rsidRPr="000729C9">
        <w:rPr>
          <w:rFonts w:ascii="Arial" w:hAnsi="Arial" w:cs="Arial"/>
          <w:noProof/>
          <w:sz w:val="20"/>
          <w:szCs w:val="20"/>
          <w:u w:val="single"/>
          <w:lang w:val="ca-ES"/>
        </w:rPr>
        <w:t>PERSONES TREBALLADORES</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 xml:space="preserve">incloses al Sistema Especial per a Empleats de la Llar del RGSS que </w:t>
      </w:r>
      <w:r w:rsidRPr="000729C9">
        <w:rPr>
          <w:rFonts w:ascii="Arial" w:hAnsi="Arial" w:cs="Arial"/>
          <w:b/>
          <w:bCs/>
          <w:noProof/>
          <w:lang w:val="ca-ES"/>
        </w:rPr>
        <w:t>prestin serveis durant menys de 60 hores mensuals per ocupador</w:t>
      </w:r>
      <w:r w:rsidRPr="000729C9">
        <w:rPr>
          <w:rFonts w:ascii="Arial" w:hAnsi="Arial" w:cs="Arial"/>
          <w:noProof/>
          <w:color w:val="404040" w:themeColor="text1" w:themeTint="BF"/>
          <w:sz w:val="20"/>
          <w:szCs w:val="20"/>
          <w:lang w:val="ca-ES"/>
        </w:rPr>
        <w:t xml:space="preserve">, </w:t>
      </w:r>
      <w:r w:rsidRPr="000729C9">
        <w:rPr>
          <w:rFonts w:ascii="Arial" w:hAnsi="Arial" w:cs="Arial"/>
          <w:noProof/>
          <w:color w:val="404040" w:themeColor="text1" w:themeTint="BF"/>
          <w:sz w:val="20"/>
          <w:szCs w:val="20"/>
          <w:u w:val="single"/>
          <w:lang w:val="ca-ES"/>
        </w:rPr>
        <w:t>NO PODRAN</w:t>
      </w:r>
      <w:r w:rsidRPr="000729C9">
        <w:rPr>
          <w:rFonts w:ascii="Arial" w:hAnsi="Arial" w:cs="Arial"/>
          <w:noProof/>
          <w:color w:val="404040" w:themeColor="text1" w:themeTint="BF"/>
          <w:sz w:val="20"/>
          <w:szCs w:val="20"/>
          <w:lang w:val="ca-ES"/>
        </w:rPr>
        <w:t xml:space="preserve"> formular directament la seva afiliació, alta, baixa i variacions de dades .</w:t>
      </w:r>
    </w:p>
    <w:p w14:paraId="3AA41F81" w14:textId="77777777" w:rsidR="006826DD" w:rsidRPr="000729C9" w:rsidRDefault="006826DD" w:rsidP="00693E75">
      <w:pPr>
        <w:spacing w:after="0" w:line="240" w:lineRule="auto"/>
        <w:jc w:val="both"/>
        <w:rPr>
          <w:rFonts w:ascii="Arial" w:hAnsi="Arial" w:cs="Arial"/>
          <w:noProof/>
          <w:color w:val="404040" w:themeColor="text1" w:themeTint="BF"/>
          <w:sz w:val="16"/>
          <w:szCs w:val="16"/>
          <w:lang w:val="ca-ES"/>
        </w:rPr>
      </w:pPr>
    </w:p>
    <w:p w14:paraId="01C72C68" w14:textId="31BC3134" w:rsidR="006826DD" w:rsidRPr="000729C9" w:rsidRDefault="006826DD"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b/>
          <w:bCs/>
          <w:noProof/>
          <w:lang w:val="ca-ES"/>
        </w:rPr>
        <w:t>A partir del dia 1 de gener de 2023</w:t>
      </w:r>
      <w:r w:rsidRPr="000729C9">
        <w:rPr>
          <w:rFonts w:ascii="Arial" w:hAnsi="Arial" w:cs="Arial"/>
          <w:noProof/>
          <w:color w:val="404040" w:themeColor="text1" w:themeTint="BF"/>
          <w:sz w:val="20"/>
          <w:szCs w:val="20"/>
          <w:lang w:val="ca-ES"/>
        </w:rPr>
        <w:t xml:space="preserve">, </w:t>
      </w:r>
      <w:r w:rsidRPr="000729C9">
        <w:rPr>
          <w:rFonts w:ascii="Arial" w:hAnsi="Arial" w:cs="Arial"/>
          <w:noProof/>
          <w:sz w:val="20"/>
          <w:szCs w:val="20"/>
          <w:lang w:val="ca-ES"/>
        </w:rPr>
        <w:t xml:space="preserve">les </w:t>
      </w:r>
      <w:r w:rsidRPr="000729C9">
        <w:rPr>
          <w:rFonts w:ascii="Arial" w:hAnsi="Arial" w:cs="Arial"/>
          <w:noProof/>
          <w:sz w:val="20"/>
          <w:szCs w:val="20"/>
          <w:u w:val="single"/>
          <w:lang w:val="ca-ES"/>
        </w:rPr>
        <w:t>PERSONES EMPLEADORES</w:t>
      </w:r>
      <w:r w:rsidRPr="000729C9">
        <w:rPr>
          <w:rFonts w:ascii="Arial" w:hAnsi="Arial" w:cs="Arial"/>
          <w:noProof/>
          <w:sz w:val="20"/>
          <w:szCs w:val="20"/>
          <w:lang w:val="ca-ES"/>
        </w:rPr>
        <w:t xml:space="preserve"> </w:t>
      </w:r>
      <w:r w:rsidRPr="000729C9">
        <w:rPr>
          <w:rFonts w:ascii="Arial" w:hAnsi="Arial" w:cs="Arial"/>
          <w:b/>
          <w:bCs/>
          <w:noProof/>
          <w:sz w:val="20"/>
          <w:szCs w:val="20"/>
          <w:lang w:val="ca-ES"/>
        </w:rPr>
        <w:t>assumiran les obligacions</w:t>
      </w:r>
      <w:r w:rsidRPr="000729C9">
        <w:rPr>
          <w:rFonts w:ascii="Arial" w:hAnsi="Arial" w:cs="Arial"/>
          <w:noProof/>
          <w:sz w:val="20"/>
          <w:szCs w:val="20"/>
          <w:lang w:val="ca-ES"/>
        </w:rPr>
        <w:t xml:space="preserve"> en matèria de cotització amb relació a les persones treballadores al servei de la llar </w:t>
      </w:r>
      <w:r w:rsidRPr="000729C9">
        <w:rPr>
          <w:rFonts w:ascii="Arial" w:hAnsi="Arial" w:cs="Arial"/>
          <w:b/>
          <w:bCs/>
          <w:noProof/>
          <w:color w:val="000000" w:themeColor="text1"/>
          <w:lang w:val="ca-ES"/>
        </w:rPr>
        <w:t>que prestin els seus serveis durant menys de 60 hores mensuals</w:t>
      </w:r>
      <w:r w:rsidRPr="000729C9">
        <w:rPr>
          <w:rFonts w:ascii="Arial" w:hAnsi="Arial" w:cs="Arial"/>
          <w:noProof/>
          <w:color w:val="000000" w:themeColor="text1"/>
          <w:sz w:val="20"/>
          <w:szCs w:val="20"/>
          <w:lang w:val="ca-ES"/>
        </w:rPr>
        <w:t xml:space="preserve"> </w:t>
      </w:r>
      <w:r w:rsidRPr="000729C9">
        <w:rPr>
          <w:rFonts w:ascii="Arial" w:hAnsi="Arial" w:cs="Arial"/>
          <w:noProof/>
          <w:color w:val="404040" w:themeColor="text1" w:themeTint="BF"/>
          <w:sz w:val="20"/>
          <w:szCs w:val="20"/>
          <w:lang w:val="ca-ES"/>
        </w:rPr>
        <w:t xml:space="preserve">per persona ocupadora i que haguessin acordat amb aquesta última, </w:t>
      </w:r>
      <w:r w:rsidRPr="000729C9">
        <w:rPr>
          <w:rFonts w:ascii="Arial" w:hAnsi="Arial" w:cs="Arial"/>
          <w:b/>
          <w:bCs/>
          <w:noProof/>
          <w:sz w:val="20"/>
          <w:szCs w:val="20"/>
          <w:lang w:val="ca-ES"/>
        </w:rPr>
        <w:t>amb anterioritat a l'entrada en vigor d'aquest Reial decret</w:t>
      </w:r>
      <w:r w:rsidR="00CE350F">
        <w:rPr>
          <w:rFonts w:ascii="Arial" w:hAnsi="Arial" w:cs="Arial"/>
          <w:b/>
          <w:bCs/>
          <w:noProof/>
          <w:sz w:val="20"/>
          <w:szCs w:val="20"/>
          <w:lang w:val="ca-ES"/>
        </w:rPr>
        <w:t xml:space="preserve"> </w:t>
      </w:r>
      <w:r w:rsidRPr="000729C9">
        <w:rPr>
          <w:rFonts w:ascii="Arial" w:hAnsi="Arial" w:cs="Arial"/>
          <w:b/>
          <w:bCs/>
          <w:noProof/>
          <w:sz w:val="20"/>
          <w:szCs w:val="20"/>
          <w:lang w:val="ca-ES"/>
        </w:rPr>
        <w:t>llei</w:t>
      </w:r>
      <w:r w:rsidRPr="000729C9">
        <w:rPr>
          <w:rFonts w:ascii="Arial" w:hAnsi="Arial" w:cs="Arial"/>
          <w:noProof/>
          <w:color w:val="404040" w:themeColor="text1" w:themeTint="BF"/>
          <w:sz w:val="20"/>
          <w:szCs w:val="20"/>
          <w:lang w:val="ca-ES"/>
        </w:rPr>
        <w:t xml:space="preserve">, l'assumpció de les obligacions en matèria d'enquadrament i cotització al Sistema Especial. A aquests efectes, les </w:t>
      </w:r>
      <w:r w:rsidRPr="000729C9">
        <w:rPr>
          <w:rFonts w:ascii="Arial" w:hAnsi="Arial" w:cs="Arial"/>
          <w:b/>
          <w:bCs/>
          <w:noProof/>
          <w:sz w:val="20"/>
          <w:szCs w:val="20"/>
          <w:lang w:val="ca-ES"/>
        </w:rPr>
        <w:t>persones ocupadores</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u w:val="single"/>
          <w:lang w:val="ca-ES"/>
        </w:rPr>
        <w:t>hauran de COMUNICAR</w:t>
      </w:r>
      <w:r w:rsidRPr="000729C9">
        <w:rPr>
          <w:rFonts w:ascii="Arial" w:hAnsi="Arial" w:cs="Arial"/>
          <w:noProof/>
          <w:color w:val="404040" w:themeColor="text1" w:themeTint="BF"/>
          <w:sz w:val="20"/>
          <w:szCs w:val="20"/>
          <w:lang w:val="ca-ES"/>
        </w:rPr>
        <w:t xml:space="preserve"> a la TGSS, </w:t>
      </w:r>
      <w:r w:rsidRPr="000729C9">
        <w:rPr>
          <w:rFonts w:ascii="Arial" w:hAnsi="Arial" w:cs="Arial"/>
          <w:b/>
          <w:bCs/>
          <w:noProof/>
          <w:sz w:val="20"/>
          <w:szCs w:val="20"/>
          <w:u w:val="single"/>
          <w:lang w:val="ca-ES"/>
        </w:rPr>
        <w:t>durant el mes de gener de 2023</w:t>
      </w:r>
      <w:r w:rsidRPr="000729C9">
        <w:rPr>
          <w:rFonts w:ascii="Arial" w:hAnsi="Arial" w:cs="Arial"/>
          <w:noProof/>
          <w:sz w:val="20"/>
          <w:szCs w:val="20"/>
          <w:lang w:val="ca-ES"/>
        </w:rPr>
        <w:t>, les dades necessàries per al càlcul i el pagament de les quotes de la Seguretat Social,</w:t>
      </w:r>
      <w:r w:rsidRPr="000729C9">
        <w:rPr>
          <w:rFonts w:ascii="Arial" w:hAnsi="Arial" w:cs="Arial"/>
          <w:noProof/>
          <w:color w:val="404040" w:themeColor="text1" w:themeTint="BF"/>
          <w:sz w:val="20"/>
          <w:szCs w:val="20"/>
          <w:lang w:val="ca-ES"/>
        </w:rPr>
        <w:t xml:space="preserve"> </w:t>
      </w:r>
      <w:r w:rsidRPr="000729C9">
        <w:rPr>
          <w:rFonts w:ascii="Arial" w:hAnsi="Arial" w:cs="Arial"/>
          <w:noProof/>
          <w:sz w:val="20"/>
          <w:szCs w:val="20"/>
          <w:lang w:val="ca-ES"/>
        </w:rPr>
        <w:t xml:space="preserve">i en especial les dades bancàries </w:t>
      </w:r>
      <w:r w:rsidRPr="000729C9">
        <w:rPr>
          <w:rFonts w:ascii="Arial" w:hAnsi="Arial" w:cs="Arial"/>
          <w:noProof/>
          <w:color w:val="404040" w:themeColor="text1" w:themeTint="BF"/>
          <w:sz w:val="20"/>
          <w:szCs w:val="20"/>
          <w:lang w:val="ca-ES"/>
        </w:rPr>
        <w:t>necessàries per al pagament de les cotitzacions, així com l'entitat gestora o, si escau, col·laboradora de la Seguretat Social per la qual opten als efectes de la cobertura de les contingències professionals, sempre que totes aquestes dades no s'hagin comunicat amb anterioritat.</w:t>
      </w:r>
    </w:p>
    <w:p w14:paraId="423B5AF1" w14:textId="77777777" w:rsidR="001829C7" w:rsidRPr="000729C9" w:rsidRDefault="001829C7" w:rsidP="00693E75">
      <w:pPr>
        <w:spacing w:after="0" w:line="240" w:lineRule="auto"/>
        <w:jc w:val="both"/>
        <w:rPr>
          <w:rFonts w:ascii="Arial" w:hAnsi="Arial" w:cs="Arial"/>
          <w:noProof/>
          <w:color w:val="404040" w:themeColor="text1" w:themeTint="BF"/>
          <w:sz w:val="20"/>
          <w:szCs w:val="20"/>
          <w:lang w:val="ca-ES"/>
        </w:rPr>
      </w:pPr>
    </w:p>
    <w:p w14:paraId="3DD3E72B" w14:textId="77777777" w:rsidR="008C6D29" w:rsidRPr="000729C9" w:rsidRDefault="008C6D29"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b/>
          <w:bCs/>
          <w:noProof/>
          <w:lang w:val="ca-ES"/>
        </w:rPr>
        <w:t>A partir de l'1 d'octubre del 2022</w:t>
      </w:r>
      <w:r w:rsidRPr="000729C9">
        <w:rPr>
          <w:rFonts w:ascii="Arial" w:hAnsi="Arial" w:cs="Arial"/>
          <w:noProof/>
          <w:color w:val="404040" w:themeColor="text1" w:themeTint="BF"/>
          <w:sz w:val="20"/>
          <w:szCs w:val="20"/>
          <w:lang w:val="ca-ES"/>
        </w:rPr>
        <w:t xml:space="preserve">, les persones que tinguin contractada o contractin sota qualsevol modalitat contractual una persona treballadora al servei de la llar i el donin d'alta al Règim General de la Seguretat Social, tindran dret a una </w:t>
      </w:r>
      <w:r w:rsidRPr="000729C9">
        <w:rPr>
          <w:rFonts w:ascii="Arial" w:hAnsi="Arial" w:cs="Arial"/>
          <w:noProof/>
          <w:color w:val="404040" w:themeColor="text1" w:themeTint="BF"/>
          <w:u w:val="single"/>
          <w:lang w:val="ca-ES"/>
        </w:rPr>
        <w:t>reducció del 20 % en l'aportació empresaria</w:t>
      </w:r>
      <w:r w:rsidRPr="000729C9">
        <w:rPr>
          <w:rFonts w:ascii="Arial" w:hAnsi="Arial" w:cs="Arial"/>
          <w:noProof/>
          <w:color w:val="404040" w:themeColor="text1" w:themeTint="BF"/>
          <w:sz w:val="20"/>
          <w:szCs w:val="20"/>
          <w:lang w:val="ca-ES"/>
        </w:rPr>
        <w:t>l a la cotització a la Seguretat Social per contingències comunes corresponent al Sistema Especial per a Empleats de la Llar establert en aquest règim.</w:t>
      </w:r>
    </w:p>
    <w:p w14:paraId="5E88EFBF" w14:textId="77777777" w:rsidR="001B2FC6" w:rsidRPr="000729C9" w:rsidRDefault="001B2FC6" w:rsidP="00693E75">
      <w:pPr>
        <w:spacing w:after="0" w:line="240" w:lineRule="auto"/>
        <w:jc w:val="both"/>
        <w:rPr>
          <w:rFonts w:ascii="Arial" w:hAnsi="Arial" w:cs="Arial"/>
          <w:noProof/>
          <w:color w:val="404040" w:themeColor="text1" w:themeTint="BF"/>
          <w:sz w:val="20"/>
          <w:szCs w:val="20"/>
          <w:lang w:val="ca-ES"/>
        </w:rPr>
      </w:pPr>
    </w:p>
    <w:p w14:paraId="6CF9B32B" w14:textId="3ADAA505" w:rsidR="006826DD" w:rsidRPr="000729C9" w:rsidRDefault="008C6D29" w:rsidP="00693E75">
      <w:pPr>
        <w:spacing w:after="0" w:line="240" w:lineRule="auto"/>
        <w:jc w:val="both"/>
        <w:rPr>
          <w:rFonts w:ascii="Arial" w:hAnsi="Arial" w:cs="Arial"/>
          <w:b/>
          <w:bCs/>
          <w:noProof/>
          <w:sz w:val="20"/>
          <w:szCs w:val="20"/>
          <w:lang w:val="ca-ES"/>
        </w:rPr>
      </w:pPr>
      <w:r w:rsidRPr="000729C9">
        <w:rPr>
          <w:rFonts w:ascii="Arial" w:hAnsi="Arial" w:cs="Arial"/>
          <w:noProof/>
          <w:u w:val="single"/>
          <w:lang w:val="ca-ES"/>
        </w:rPr>
        <w:t>Com a alternativa a la reducció anterior</w:t>
      </w:r>
      <w:r w:rsidRPr="000729C9">
        <w:rPr>
          <w:rFonts w:ascii="Arial" w:hAnsi="Arial" w:cs="Arial"/>
          <w:noProof/>
          <w:color w:val="404040" w:themeColor="text1" w:themeTint="BF"/>
          <w:sz w:val="20"/>
          <w:szCs w:val="20"/>
          <w:lang w:val="ca-ES"/>
        </w:rPr>
        <w:t xml:space="preserve">, les persones ocupadores que donin d'alta a l'RGSS una persona treballadora al servei de la llar, </w:t>
      </w:r>
      <w:r w:rsidRPr="000729C9">
        <w:rPr>
          <w:rFonts w:ascii="Arial" w:hAnsi="Arial" w:cs="Arial"/>
          <w:b/>
          <w:bCs/>
          <w:noProof/>
          <w:color w:val="404040" w:themeColor="text1" w:themeTint="BF"/>
          <w:lang w:val="ca-ES"/>
        </w:rPr>
        <w:t>a partir de l'1 d'abril de 2023</w:t>
      </w:r>
      <w:r w:rsidRPr="000729C9">
        <w:rPr>
          <w:rFonts w:ascii="Arial" w:hAnsi="Arial" w:cs="Arial"/>
          <w:noProof/>
          <w:color w:val="404040" w:themeColor="text1" w:themeTint="BF"/>
          <w:sz w:val="20"/>
          <w:szCs w:val="20"/>
          <w:lang w:val="ca-ES"/>
        </w:rPr>
        <w:t xml:space="preserve">, tindran dret, durant tota la situació d'alta en aquest règim, una </w:t>
      </w:r>
      <w:r w:rsidRPr="000729C9">
        <w:rPr>
          <w:rFonts w:ascii="Arial" w:hAnsi="Arial" w:cs="Arial"/>
          <w:noProof/>
          <w:color w:val="404040" w:themeColor="text1" w:themeTint="BF"/>
          <w:u w:val="single"/>
          <w:lang w:val="ca-ES"/>
        </w:rPr>
        <w:t>bonificació del 45% o del 30% en l'aportació empresarial</w:t>
      </w:r>
      <w:r w:rsidRPr="000729C9">
        <w:rPr>
          <w:rFonts w:ascii="Arial" w:hAnsi="Arial" w:cs="Arial"/>
          <w:noProof/>
          <w:color w:val="404040" w:themeColor="text1" w:themeTint="BF"/>
          <w:sz w:val="20"/>
          <w:szCs w:val="20"/>
          <w:lang w:val="ca-ES"/>
        </w:rPr>
        <w:t xml:space="preserve"> a la cotització a la Seguretat Social per contingències comunes corresponent al Sistema Especial per a Empleats de la Llar establert, </w:t>
      </w:r>
      <w:r w:rsidRPr="000729C9">
        <w:rPr>
          <w:rFonts w:ascii="Arial" w:hAnsi="Arial" w:cs="Arial"/>
          <w:b/>
          <w:bCs/>
          <w:noProof/>
          <w:sz w:val="20"/>
          <w:szCs w:val="20"/>
          <w:lang w:val="ca-ES"/>
        </w:rPr>
        <w:t>quan compleixin els requisits de patrimoni i/o renda de la unitat familiar o de convivència de la persona ocupadora en els termes i les condicions que es fixin reglamentàriament.</w:t>
      </w:r>
    </w:p>
    <w:p w14:paraId="4C8BE385" w14:textId="77777777" w:rsidR="0090518B" w:rsidRPr="000729C9" w:rsidRDefault="0090518B" w:rsidP="00693E75">
      <w:pPr>
        <w:spacing w:after="0" w:line="240" w:lineRule="auto"/>
        <w:jc w:val="both"/>
        <w:rPr>
          <w:rFonts w:ascii="Arial" w:hAnsi="Arial" w:cs="Arial"/>
          <w:noProof/>
          <w:color w:val="404040" w:themeColor="text1" w:themeTint="BF"/>
          <w:sz w:val="20"/>
          <w:szCs w:val="20"/>
          <w:lang w:val="ca-ES"/>
        </w:rPr>
      </w:pPr>
    </w:p>
    <w:p w14:paraId="4652199B" w14:textId="22723F19" w:rsidR="0090518B" w:rsidRPr="000729C9" w:rsidRDefault="0090518B"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b/>
          <w:bCs/>
          <w:noProof/>
          <w:lang w:val="ca-ES"/>
        </w:rPr>
        <w:t>A partir de l'1 d'abril del 2023</w:t>
      </w:r>
      <w:r w:rsidRPr="000729C9">
        <w:rPr>
          <w:rFonts w:ascii="Arial" w:hAnsi="Arial" w:cs="Arial"/>
          <w:noProof/>
          <w:color w:val="404040" w:themeColor="text1" w:themeTint="BF"/>
          <w:sz w:val="20"/>
          <w:szCs w:val="20"/>
          <w:lang w:val="ca-ES"/>
        </w:rPr>
        <w:t xml:space="preserve"> queda </w:t>
      </w:r>
      <w:r w:rsidRPr="000729C9">
        <w:rPr>
          <w:rFonts w:ascii="Arial" w:hAnsi="Arial" w:cs="Arial"/>
          <w:b/>
          <w:bCs/>
          <w:noProof/>
          <w:lang w:val="ca-ES"/>
        </w:rPr>
        <w:t>derogada</w:t>
      </w:r>
      <w:r w:rsidRPr="000729C9">
        <w:rPr>
          <w:rFonts w:ascii="Arial" w:hAnsi="Arial" w:cs="Arial"/>
          <w:noProof/>
          <w:color w:val="404040" w:themeColor="text1" w:themeTint="BF"/>
          <w:sz w:val="20"/>
          <w:szCs w:val="20"/>
          <w:lang w:val="ca-ES"/>
        </w:rPr>
        <w:t xml:space="preserve"> </w:t>
      </w:r>
      <w:r w:rsidRPr="000729C9">
        <w:rPr>
          <w:rFonts w:ascii="Arial" w:hAnsi="Arial" w:cs="Arial"/>
          <w:noProof/>
          <w:sz w:val="20"/>
          <w:szCs w:val="20"/>
          <w:u w:val="single"/>
          <w:lang w:val="ca-ES"/>
        </w:rPr>
        <w:t>la bonificació</w:t>
      </w:r>
      <w:r w:rsidRPr="000729C9">
        <w:rPr>
          <w:rFonts w:ascii="Arial" w:hAnsi="Arial" w:cs="Arial"/>
          <w:noProof/>
          <w:sz w:val="20"/>
          <w:szCs w:val="20"/>
          <w:lang w:val="ca-ES"/>
        </w:rPr>
        <w:t xml:space="preserve"> </w:t>
      </w:r>
      <w:r w:rsidRPr="000729C9">
        <w:rPr>
          <w:rFonts w:ascii="Arial" w:hAnsi="Arial" w:cs="Arial"/>
          <w:noProof/>
          <w:color w:val="404040" w:themeColor="text1" w:themeTint="BF"/>
          <w:sz w:val="20"/>
          <w:szCs w:val="20"/>
          <w:lang w:val="ca-ES"/>
        </w:rPr>
        <w:t xml:space="preserve">del 45% en les quotes de la Seguretat Social per </w:t>
      </w:r>
      <w:r w:rsidRPr="000729C9">
        <w:rPr>
          <w:rFonts w:ascii="Arial" w:hAnsi="Arial" w:cs="Arial"/>
          <w:noProof/>
          <w:color w:val="000000" w:themeColor="text1"/>
          <w:sz w:val="20"/>
          <w:szCs w:val="20"/>
          <w:u w:val="single"/>
          <w:lang w:val="ca-ES"/>
        </w:rPr>
        <w:t>contractació de cuidadors en famílies nombroses</w:t>
      </w:r>
      <w:r w:rsidRPr="000729C9">
        <w:rPr>
          <w:rFonts w:ascii="Arial" w:hAnsi="Arial" w:cs="Arial"/>
          <w:noProof/>
          <w:color w:val="404040" w:themeColor="text1" w:themeTint="BF"/>
          <w:sz w:val="20"/>
          <w:szCs w:val="20"/>
          <w:lang w:val="ca-ES"/>
        </w:rPr>
        <w:t>, i s'estableix un règim transitori</w:t>
      </w:r>
      <w:r w:rsidR="00015F3D" w:rsidRPr="000729C9">
        <w:rPr>
          <w:rFonts w:ascii="Arial" w:hAnsi="Arial" w:cs="Arial"/>
          <w:noProof/>
          <w:color w:val="404040" w:themeColor="text1" w:themeTint="BF"/>
          <w:sz w:val="20"/>
          <w:szCs w:val="20"/>
          <w:lang w:val="ca-ES"/>
        </w:rPr>
        <w:t xml:space="preserve"> per a les b</w:t>
      </w:r>
      <w:r w:rsidRPr="000729C9">
        <w:rPr>
          <w:rFonts w:ascii="Arial" w:hAnsi="Arial" w:cs="Arial"/>
          <w:noProof/>
          <w:color w:val="404040" w:themeColor="text1" w:themeTint="BF"/>
          <w:sz w:val="20"/>
          <w:szCs w:val="20"/>
          <w:lang w:val="ca-ES"/>
        </w:rPr>
        <w:t>onificacions que s'estiguessin aplicant l'1 d'abril de 2023</w:t>
      </w:r>
      <w:r w:rsidR="00EE7775" w:rsidRPr="000729C9">
        <w:rPr>
          <w:rFonts w:ascii="Arial" w:hAnsi="Arial" w:cs="Arial"/>
          <w:noProof/>
          <w:color w:val="404040" w:themeColor="text1" w:themeTint="BF"/>
          <w:sz w:val="20"/>
          <w:szCs w:val="20"/>
          <w:lang w:val="ca-ES"/>
        </w:rPr>
        <w:t>, que</w:t>
      </w:r>
      <w:r w:rsidRPr="000729C9">
        <w:rPr>
          <w:rFonts w:ascii="Arial" w:hAnsi="Arial" w:cs="Arial"/>
          <w:noProof/>
          <w:color w:val="404040" w:themeColor="text1" w:themeTint="BF"/>
          <w:sz w:val="20"/>
          <w:szCs w:val="20"/>
          <w:lang w:val="ca-ES"/>
        </w:rPr>
        <w:t xml:space="preserve"> </w:t>
      </w:r>
      <w:r w:rsidRPr="000729C9">
        <w:rPr>
          <w:rFonts w:ascii="Arial" w:hAnsi="Arial" w:cs="Arial"/>
          <w:b/>
          <w:bCs/>
          <w:noProof/>
          <w:sz w:val="20"/>
          <w:szCs w:val="20"/>
          <w:lang w:val="ca-ES"/>
        </w:rPr>
        <w:t>mantindran la vigència fins a la data d'efectes de la baixa dels cuidadors</w:t>
      </w:r>
      <w:r w:rsidRPr="000729C9">
        <w:rPr>
          <w:rFonts w:ascii="Arial" w:hAnsi="Arial" w:cs="Arial"/>
          <w:noProof/>
          <w:color w:val="404040" w:themeColor="text1" w:themeTint="BF"/>
          <w:sz w:val="20"/>
          <w:szCs w:val="20"/>
          <w:lang w:val="ca-ES"/>
        </w:rPr>
        <w:t xml:space="preserve"> que hi donin dret </w:t>
      </w:r>
      <w:r w:rsidR="004D2A8F">
        <w:rPr>
          <w:rFonts w:ascii="Arial" w:hAnsi="Arial" w:cs="Arial"/>
          <w:noProof/>
          <w:color w:val="404040" w:themeColor="text1" w:themeTint="BF"/>
          <w:sz w:val="20"/>
          <w:szCs w:val="20"/>
          <w:lang w:val="ca-ES"/>
        </w:rPr>
        <w:t>en el</w:t>
      </w:r>
      <w:r w:rsidRPr="000729C9">
        <w:rPr>
          <w:rFonts w:ascii="Arial" w:hAnsi="Arial" w:cs="Arial"/>
          <w:noProof/>
          <w:color w:val="404040" w:themeColor="text1" w:themeTint="BF"/>
          <w:sz w:val="20"/>
          <w:szCs w:val="20"/>
          <w:lang w:val="ca-ES"/>
        </w:rPr>
        <w:t xml:space="preserve"> Règim General de la Seguretat Social</w:t>
      </w:r>
      <w:r w:rsidR="002C43E6" w:rsidRPr="000729C9">
        <w:rPr>
          <w:rFonts w:ascii="Arial" w:hAnsi="Arial" w:cs="Arial"/>
          <w:noProof/>
          <w:color w:val="404040" w:themeColor="text1" w:themeTint="BF"/>
          <w:sz w:val="20"/>
          <w:szCs w:val="20"/>
          <w:lang w:val="ca-ES"/>
        </w:rPr>
        <w:t>,</w:t>
      </w:r>
      <w:r w:rsidRPr="000729C9">
        <w:rPr>
          <w:rFonts w:ascii="Arial" w:hAnsi="Arial" w:cs="Arial"/>
          <w:noProof/>
          <w:color w:val="404040" w:themeColor="text1" w:themeTint="BF"/>
          <w:sz w:val="20"/>
          <w:szCs w:val="20"/>
          <w:lang w:val="ca-ES"/>
        </w:rPr>
        <w:t xml:space="preserve"> i seran incompatibles amb la nova reducció i bonificació alternativa.</w:t>
      </w:r>
    </w:p>
    <w:p w14:paraId="2C78F73E" w14:textId="37B1C763" w:rsidR="00A1122C" w:rsidRPr="000729C9" w:rsidRDefault="00A1122C" w:rsidP="00693E75">
      <w:pPr>
        <w:spacing w:after="0" w:line="240" w:lineRule="auto"/>
        <w:jc w:val="both"/>
        <w:rPr>
          <w:rFonts w:ascii="Arial" w:hAnsi="Arial" w:cs="Arial"/>
          <w:noProof/>
          <w:color w:val="404040" w:themeColor="text1" w:themeTint="BF"/>
          <w:sz w:val="20"/>
          <w:szCs w:val="20"/>
          <w:lang w:val="ca-ES"/>
        </w:rPr>
      </w:pPr>
    </w:p>
    <w:p w14:paraId="56384375" w14:textId="39EC24F2" w:rsidR="00FF2B96" w:rsidRPr="000729C9" w:rsidRDefault="00FF2B96" w:rsidP="00693E75">
      <w:pPr>
        <w:spacing w:after="0" w:line="240" w:lineRule="auto"/>
        <w:jc w:val="both"/>
        <w:rPr>
          <w:rFonts w:ascii="Arial" w:hAnsi="Arial" w:cs="Arial"/>
          <w:noProof/>
          <w:color w:val="404040" w:themeColor="text1" w:themeTint="BF"/>
          <w:sz w:val="20"/>
          <w:szCs w:val="20"/>
          <w:lang w:val="ca-ES"/>
        </w:rPr>
      </w:pPr>
      <w:r w:rsidRPr="000729C9">
        <w:rPr>
          <w:rFonts w:ascii="Arial" w:hAnsi="Arial" w:cs="Arial"/>
          <w:noProof/>
          <w:color w:val="404040" w:themeColor="text1" w:themeTint="BF"/>
          <w:sz w:val="20"/>
          <w:szCs w:val="20"/>
          <w:lang w:val="ca-ES"/>
        </w:rPr>
        <w:t>Davant de qualsevol dubte o per completar els continguts poden contactar amb el nostre despatx</w:t>
      </w:r>
    </w:p>
    <w:p w14:paraId="331376F5" w14:textId="77777777" w:rsidR="00FF2B96" w:rsidRPr="000729C9" w:rsidRDefault="00FF2B96" w:rsidP="00693E75">
      <w:pPr>
        <w:spacing w:after="0" w:line="240" w:lineRule="auto"/>
        <w:jc w:val="both"/>
        <w:rPr>
          <w:rFonts w:ascii="Arial" w:hAnsi="Arial" w:cs="Arial"/>
          <w:noProof/>
          <w:color w:val="404040" w:themeColor="text1" w:themeTint="BF"/>
          <w:sz w:val="20"/>
          <w:szCs w:val="20"/>
          <w:lang w:val="ca-ES"/>
        </w:rPr>
      </w:pPr>
    </w:p>
    <w:sectPr w:rsidR="00FF2B96" w:rsidRPr="000729C9" w:rsidSect="006A4659">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43"/>
    <w:rsid w:val="00015F3D"/>
    <w:rsid w:val="00020122"/>
    <w:rsid w:val="0002214A"/>
    <w:rsid w:val="000729C9"/>
    <w:rsid w:val="00111EE9"/>
    <w:rsid w:val="001207F9"/>
    <w:rsid w:val="00154A0B"/>
    <w:rsid w:val="001829C7"/>
    <w:rsid w:val="001B2FC6"/>
    <w:rsid w:val="00220C8F"/>
    <w:rsid w:val="0026084E"/>
    <w:rsid w:val="00272DF6"/>
    <w:rsid w:val="00292993"/>
    <w:rsid w:val="002C43E6"/>
    <w:rsid w:val="002F172F"/>
    <w:rsid w:val="00351975"/>
    <w:rsid w:val="0037307F"/>
    <w:rsid w:val="00387DE2"/>
    <w:rsid w:val="0039523A"/>
    <w:rsid w:val="003A4454"/>
    <w:rsid w:val="003D0BAC"/>
    <w:rsid w:val="003D2DB8"/>
    <w:rsid w:val="0041715F"/>
    <w:rsid w:val="004D2A8F"/>
    <w:rsid w:val="004F3075"/>
    <w:rsid w:val="00532D65"/>
    <w:rsid w:val="00554713"/>
    <w:rsid w:val="005A2E35"/>
    <w:rsid w:val="005D31D0"/>
    <w:rsid w:val="005F0BDA"/>
    <w:rsid w:val="00612EC0"/>
    <w:rsid w:val="0063464C"/>
    <w:rsid w:val="0065344E"/>
    <w:rsid w:val="006747BD"/>
    <w:rsid w:val="006826DD"/>
    <w:rsid w:val="00693E75"/>
    <w:rsid w:val="006A0DEF"/>
    <w:rsid w:val="006A4659"/>
    <w:rsid w:val="006B6B08"/>
    <w:rsid w:val="006C11D5"/>
    <w:rsid w:val="006E1315"/>
    <w:rsid w:val="00731073"/>
    <w:rsid w:val="0073508F"/>
    <w:rsid w:val="00743938"/>
    <w:rsid w:val="00781319"/>
    <w:rsid w:val="00781D45"/>
    <w:rsid w:val="00792313"/>
    <w:rsid w:val="007938AE"/>
    <w:rsid w:val="00796E77"/>
    <w:rsid w:val="007C44FF"/>
    <w:rsid w:val="007E5125"/>
    <w:rsid w:val="007F02AC"/>
    <w:rsid w:val="008646D3"/>
    <w:rsid w:val="008C5743"/>
    <w:rsid w:val="008C6D29"/>
    <w:rsid w:val="008F08A5"/>
    <w:rsid w:val="009024A6"/>
    <w:rsid w:val="0090518B"/>
    <w:rsid w:val="00965E17"/>
    <w:rsid w:val="009755CF"/>
    <w:rsid w:val="009E24A4"/>
    <w:rsid w:val="00A03B5C"/>
    <w:rsid w:val="00A1122C"/>
    <w:rsid w:val="00A115E4"/>
    <w:rsid w:val="00A52E5B"/>
    <w:rsid w:val="00A92799"/>
    <w:rsid w:val="00AD5DF8"/>
    <w:rsid w:val="00B0703C"/>
    <w:rsid w:val="00B4673B"/>
    <w:rsid w:val="00B7408A"/>
    <w:rsid w:val="00B86A05"/>
    <w:rsid w:val="00BF3172"/>
    <w:rsid w:val="00C572FE"/>
    <w:rsid w:val="00CC1F80"/>
    <w:rsid w:val="00CE350F"/>
    <w:rsid w:val="00D640F5"/>
    <w:rsid w:val="00D878C4"/>
    <w:rsid w:val="00DD32E9"/>
    <w:rsid w:val="00E56E8C"/>
    <w:rsid w:val="00E96D84"/>
    <w:rsid w:val="00EE6F09"/>
    <w:rsid w:val="00EE7775"/>
    <w:rsid w:val="00F47C45"/>
    <w:rsid w:val="00F6794E"/>
    <w:rsid w:val="00F761E7"/>
    <w:rsid w:val="00FF2B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AF8F"/>
  <w15:chartTrackingRefBased/>
  <w15:docId w15:val="{0E6419EA-B71A-4D76-A018-41CCCECB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5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61B4-C0EB-4A39-96A3-5D0292D4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SÍNTESIS DIÀRIA</dc:creator>
  <cp:keywords/>
  <dc:description/>
  <cp:lastModifiedBy>SÍNTESIS DIÀRIA</cp:lastModifiedBy>
  <cp:revision>86</cp:revision>
  <cp:lastPrinted>2022-09-13T07:08:00Z</cp:lastPrinted>
  <dcterms:created xsi:type="dcterms:W3CDTF">2022-09-13T06:49:00Z</dcterms:created>
  <dcterms:modified xsi:type="dcterms:W3CDTF">2022-09-13T10:03:00Z</dcterms:modified>
</cp:coreProperties>
</file>